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92" w:type="dxa"/>
        <w:tblLayout w:type="fixed"/>
        <w:tblLook w:val="0000" w:firstRow="0" w:lastRow="0" w:firstColumn="0" w:lastColumn="0" w:noHBand="0" w:noVBand="0"/>
      </w:tblPr>
      <w:tblGrid>
        <w:gridCol w:w="2493"/>
        <w:gridCol w:w="8161"/>
        <w:gridCol w:w="236"/>
      </w:tblGrid>
      <w:tr w:rsidR="00655DE3" w:rsidRPr="00335902" w14:paraId="0F55D4C6" w14:textId="77777777" w:rsidTr="00F92F94">
        <w:trPr>
          <w:cantSplit/>
          <w:trHeight w:val="810"/>
        </w:trPr>
        <w:tc>
          <w:tcPr>
            <w:tcW w:w="10654" w:type="dxa"/>
            <w:gridSpan w:val="2"/>
          </w:tcPr>
          <w:p w14:paraId="43CC4352" w14:textId="77777777" w:rsidR="00655DE3" w:rsidRPr="00EF62A9" w:rsidRDefault="00655DE3" w:rsidP="00F92F94">
            <w:pPr>
              <w:jc w:val="right"/>
              <w:rPr>
                <w:rFonts w:cs="Arial"/>
                <w:szCs w:val="24"/>
              </w:rPr>
            </w:pPr>
            <w:r w:rsidRPr="00EF62A9">
              <w:rPr>
                <w:rFonts w:cs="Arial"/>
                <w:noProof/>
                <w:szCs w:val="24"/>
                <w:lang w:eastAsia="en-GB"/>
              </w:rPr>
              <w:drawing>
                <wp:inline distT="0" distB="0" distL="0" distR="0" wp14:anchorId="45C9A67F" wp14:editId="64052E53">
                  <wp:extent cx="3362325" cy="571500"/>
                  <wp:effectExtent l="0" t="0" r="9525" b="0"/>
                  <wp:docPr id="1" name="Picture 1" descr="GC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C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62325" cy="571500"/>
                          </a:xfrm>
                          <a:prstGeom prst="rect">
                            <a:avLst/>
                          </a:prstGeom>
                          <a:noFill/>
                          <a:ln>
                            <a:noFill/>
                          </a:ln>
                        </pic:spPr>
                      </pic:pic>
                    </a:graphicData>
                  </a:graphic>
                </wp:inline>
              </w:drawing>
            </w:r>
          </w:p>
          <w:p w14:paraId="0E3F8545" w14:textId="77777777" w:rsidR="00655DE3" w:rsidRPr="0019748A" w:rsidRDefault="00655DE3" w:rsidP="00F92F94">
            <w:pPr>
              <w:rPr>
                <w:rFonts w:cs="Arial"/>
                <w:szCs w:val="24"/>
              </w:rPr>
            </w:pPr>
          </w:p>
          <w:p w14:paraId="189AD41B" w14:textId="2C96C5C8" w:rsidR="00E70D07" w:rsidRPr="00335902" w:rsidRDefault="00655DE3" w:rsidP="00E70D07">
            <w:pPr>
              <w:ind w:left="123"/>
              <w:rPr>
                <w:rFonts w:cs="Arial"/>
                <w:iCs/>
                <w:szCs w:val="24"/>
              </w:rPr>
            </w:pPr>
            <w:r w:rsidRPr="004E5846">
              <w:rPr>
                <w:rFonts w:cs="Arial"/>
                <w:b/>
                <w:szCs w:val="24"/>
              </w:rPr>
              <w:t>REPORT TITLE</w:t>
            </w:r>
            <w:r w:rsidRPr="00EF62A9">
              <w:rPr>
                <w:rFonts w:cs="Arial"/>
                <w:b/>
                <w:szCs w:val="24"/>
              </w:rPr>
              <w:t>:</w:t>
            </w:r>
            <w:r w:rsidRPr="0075743F">
              <w:rPr>
                <w:rFonts w:cs="Arial"/>
                <w:b/>
                <w:szCs w:val="24"/>
              </w:rPr>
              <w:t xml:space="preserve">       </w:t>
            </w:r>
            <w:r w:rsidR="00E70D07" w:rsidRPr="00865ADD">
              <w:rPr>
                <w:rFonts w:eastAsiaTheme="minorHAnsi" w:cs="Arial"/>
                <w:szCs w:val="24"/>
              </w:rPr>
              <w:t xml:space="preserve">Approval for the </w:t>
            </w:r>
            <w:r w:rsidR="00E70D07">
              <w:rPr>
                <w:rFonts w:eastAsiaTheme="minorHAnsi" w:cs="Arial"/>
                <w:szCs w:val="24"/>
              </w:rPr>
              <w:t xml:space="preserve">grant acceptance/entering into funding agreement, </w:t>
            </w:r>
            <w:r w:rsidR="00C34DB6" w:rsidRPr="00865ADD">
              <w:rPr>
                <w:rFonts w:eastAsiaTheme="minorHAnsi" w:cs="Arial"/>
                <w:szCs w:val="24"/>
              </w:rPr>
              <w:t>allocation,</w:t>
            </w:r>
            <w:r w:rsidR="00E70D07" w:rsidRPr="00865ADD">
              <w:rPr>
                <w:rFonts w:eastAsiaTheme="minorHAnsi" w:cs="Arial"/>
                <w:szCs w:val="24"/>
              </w:rPr>
              <w:t xml:space="preserve"> and distribution of funds for the Multiply Programme element of the UK Shared Prosperity Fund</w:t>
            </w:r>
          </w:p>
          <w:p w14:paraId="5413BC69" w14:textId="06C7D199" w:rsidR="00655DE3" w:rsidRDefault="00655DE3" w:rsidP="00F92F94">
            <w:pPr>
              <w:rPr>
                <w:rFonts w:eastAsiaTheme="minorHAnsi" w:cs="Arial"/>
                <w:szCs w:val="24"/>
              </w:rPr>
            </w:pPr>
          </w:p>
          <w:p w14:paraId="283FE58A" w14:textId="1986666A" w:rsidR="00A909F3" w:rsidRPr="004E3438" w:rsidRDefault="00A909F3" w:rsidP="00F92F94">
            <w:pPr>
              <w:rPr>
                <w:rFonts w:cs="Arial"/>
                <w:szCs w:val="24"/>
              </w:rPr>
            </w:pPr>
          </w:p>
        </w:tc>
        <w:tc>
          <w:tcPr>
            <w:tcW w:w="236" w:type="dxa"/>
          </w:tcPr>
          <w:p w14:paraId="3655A98A" w14:textId="77777777" w:rsidR="00655DE3" w:rsidRPr="001E6C29" w:rsidRDefault="00655DE3" w:rsidP="00F92F94">
            <w:pPr>
              <w:rPr>
                <w:rFonts w:cs="Arial"/>
                <w:szCs w:val="24"/>
              </w:rPr>
            </w:pPr>
          </w:p>
        </w:tc>
      </w:tr>
      <w:tr w:rsidR="00655DE3" w:rsidRPr="00335902" w14:paraId="4E88F88A" w14:textId="77777777" w:rsidTr="00EB059C">
        <w:trPr>
          <w:cantSplit/>
        </w:trPr>
        <w:tc>
          <w:tcPr>
            <w:tcW w:w="2493" w:type="dxa"/>
            <w:tcBorders>
              <w:top w:val="single" w:sz="4" w:space="0" w:color="auto"/>
              <w:left w:val="single" w:sz="4" w:space="0" w:color="auto"/>
              <w:bottom w:val="single" w:sz="4" w:space="0" w:color="auto"/>
              <w:right w:val="single" w:sz="4" w:space="0" w:color="auto"/>
            </w:tcBorders>
          </w:tcPr>
          <w:p w14:paraId="6AD067E6" w14:textId="77777777" w:rsidR="00655DE3" w:rsidRPr="00E903D3" w:rsidRDefault="00655DE3" w:rsidP="00F92F94">
            <w:pPr>
              <w:pStyle w:val="Heading1"/>
              <w:spacing w:before="120" w:after="120"/>
              <w:rPr>
                <w:rFonts w:cs="Arial"/>
                <w:szCs w:val="24"/>
              </w:rPr>
            </w:pPr>
            <w:r w:rsidRPr="00EF62A9">
              <w:rPr>
                <w:rFonts w:cs="Arial"/>
                <w:szCs w:val="24"/>
              </w:rPr>
              <w:t>Dates between which decision will be taken</w:t>
            </w:r>
          </w:p>
        </w:tc>
        <w:tc>
          <w:tcPr>
            <w:tcW w:w="8397" w:type="dxa"/>
            <w:gridSpan w:val="2"/>
            <w:tcBorders>
              <w:top w:val="single" w:sz="4" w:space="0" w:color="auto"/>
              <w:left w:val="single" w:sz="4" w:space="0" w:color="auto"/>
              <w:bottom w:val="single" w:sz="4" w:space="0" w:color="auto"/>
              <w:right w:val="single" w:sz="4" w:space="0" w:color="auto"/>
            </w:tcBorders>
          </w:tcPr>
          <w:p w14:paraId="582ED6B1" w14:textId="3A332114" w:rsidR="00655DE3" w:rsidRPr="001E6C29" w:rsidRDefault="00655DE3" w:rsidP="00F92F94">
            <w:pPr>
              <w:pStyle w:val="Heading1"/>
              <w:spacing w:before="120" w:after="120"/>
              <w:rPr>
                <w:rFonts w:cs="Arial"/>
                <w:b w:val="0"/>
                <w:szCs w:val="24"/>
              </w:rPr>
            </w:pPr>
            <w:r w:rsidRPr="0019748A">
              <w:rPr>
                <w:rFonts w:cs="Arial"/>
                <w:b w:val="0"/>
                <w:szCs w:val="24"/>
              </w:rPr>
              <w:t>Earliest</w:t>
            </w:r>
            <w:r w:rsidRPr="004E5846">
              <w:rPr>
                <w:rFonts w:cs="Arial"/>
                <w:b w:val="0"/>
                <w:szCs w:val="24"/>
              </w:rPr>
              <w:t xml:space="preserve"> date</w:t>
            </w:r>
            <w:r w:rsidRPr="004E3438">
              <w:rPr>
                <w:rFonts w:cs="Arial"/>
                <w:b w:val="0"/>
                <w:szCs w:val="24"/>
              </w:rPr>
              <w:t xml:space="preserve">:  </w:t>
            </w:r>
            <w:r w:rsidR="00E7217A">
              <w:rPr>
                <w:rFonts w:cs="Arial"/>
                <w:b w:val="0"/>
                <w:szCs w:val="24"/>
              </w:rPr>
              <w:t>26 August 2022</w:t>
            </w:r>
          </w:p>
          <w:p w14:paraId="17EF331F" w14:textId="073A6572" w:rsidR="00655DE3" w:rsidRPr="001E6C29" w:rsidRDefault="00655DE3" w:rsidP="00F92F94">
            <w:pPr>
              <w:rPr>
                <w:rFonts w:cs="Arial"/>
                <w:szCs w:val="24"/>
              </w:rPr>
            </w:pPr>
            <w:r w:rsidRPr="001E6C29">
              <w:rPr>
                <w:rFonts w:cs="Arial"/>
                <w:szCs w:val="24"/>
              </w:rPr>
              <w:t xml:space="preserve">Latest date:  </w:t>
            </w:r>
            <w:r w:rsidR="00E7217A">
              <w:rPr>
                <w:rFonts w:cs="Arial"/>
                <w:szCs w:val="24"/>
              </w:rPr>
              <w:t>2 September 2022</w:t>
            </w:r>
          </w:p>
        </w:tc>
      </w:tr>
      <w:tr w:rsidR="00655DE3" w:rsidRPr="00335902" w14:paraId="5617F568" w14:textId="77777777" w:rsidTr="00EB059C">
        <w:trPr>
          <w:cantSplit/>
        </w:trPr>
        <w:tc>
          <w:tcPr>
            <w:tcW w:w="2493" w:type="dxa"/>
            <w:tcBorders>
              <w:top w:val="single" w:sz="4" w:space="0" w:color="auto"/>
              <w:left w:val="single" w:sz="4" w:space="0" w:color="auto"/>
              <w:bottom w:val="single" w:sz="4" w:space="0" w:color="auto"/>
              <w:right w:val="single" w:sz="4" w:space="0" w:color="auto"/>
            </w:tcBorders>
          </w:tcPr>
          <w:p w14:paraId="77B39C86" w14:textId="77777777" w:rsidR="00655DE3" w:rsidRPr="00EF62A9" w:rsidRDefault="00655DE3" w:rsidP="00F92F94">
            <w:pPr>
              <w:pStyle w:val="Heading1"/>
              <w:spacing w:before="120" w:after="120"/>
              <w:rPr>
                <w:rFonts w:cs="Arial"/>
                <w:iCs/>
                <w:szCs w:val="24"/>
              </w:rPr>
            </w:pPr>
            <w:r w:rsidRPr="00EF62A9">
              <w:rPr>
                <w:rFonts w:cs="Arial"/>
                <w:iCs/>
                <w:szCs w:val="24"/>
              </w:rPr>
              <w:t>Cabinet Member</w:t>
            </w:r>
          </w:p>
        </w:tc>
        <w:tc>
          <w:tcPr>
            <w:tcW w:w="8397" w:type="dxa"/>
            <w:gridSpan w:val="2"/>
            <w:tcBorders>
              <w:top w:val="single" w:sz="4" w:space="0" w:color="auto"/>
              <w:left w:val="single" w:sz="4" w:space="0" w:color="auto"/>
              <w:bottom w:val="single" w:sz="4" w:space="0" w:color="auto"/>
              <w:right w:val="single" w:sz="4" w:space="0" w:color="auto"/>
            </w:tcBorders>
            <w:vAlign w:val="center"/>
          </w:tcPr>
          <w:p w14:paraId="4088AB14" w14:textId="13AEC684" w:rsidR="00655DE3" w:rsidRPr="0019748A" w:rsidRDefault="00655DE3" w:rsidP="00F92F94">
            <w:pPr>
              <w:pStyle w:val="Heading1"/>
              <w:spacing w:before="120" w:after="120"/>
              <w:rPr>
                <w:rFonts w:cs="Arial"/>
                <w:b w:val="0"/>
                <w:iCs/>
                <w:color w:val="000000" w:themeColor="text1"/>
                <w:szCs w:val="24"/>
              </w:rPr>
            </w:pPr>
            <w:r w:rsidRPr="00E903D3">
              <w:rPr>
                <w:rFonts w:cs="Arial"/>
                <w:b w:val="0"/>
                <w:iCs/>
                <w:color w:val="000000" w:themeColor="text1"/>
                <w:szCs w:val="24"/>
              </w:rPr>
              <w:t>Cllr Philip Robinson</w:t>
            </w:r>
            <w:r w:rsidR="006A7331">
              <w:rPr>
                <w:rFonts w:cs="Arial"/>
                <w:b w:val="0"/>
                <w:iCs/>
                <w:color w:val="000000" w:themeColor="text1"/>
                <w:szCs w:val="24"/>
              </w:rPr>
              <w:t>,</w:t>
            </w:r>
            <w:r w:rsidR="00865ADD">
              <w:rPr>
                <w:rFonts w:cs="Arial"/>
                <w:b w:val="0"/>
                <w:iCs/>
                <w:color w:val="000000" w:themeColor="text1"/>
                <w:szCs w:val="24"/>
              </w:rPr>
              <w:t xml:space="preserve"> </w:t>
            </w:r>
            <w:r>
              <w:rPr>
                <w:rFonts w:cs="Arial"/>
                <w:b w:val="0"/>
                <w:iCs/>
                <w:color w:val="000000" w:themeColor="text1"/>
                <w:szCs w:val="24"/>
              </w:rPr>
              <w:t xml:space="preserve">Cabinet Member for </w:t>
            </w:r>
            <w:r w:rsidR="00ED100A">
              <w:rPr>
                <w:rFonts w:cs="Arial"/>
                <w:b w:val="0"/>
                <w:iCs/>
                <w:color w:val="000000" w:themeColor="text1"/>
                <w:szCs w:val="24"/>
              </w:rPr>
              <w:t>Education</w:t>
            </w:r>
            <w:r>
              <w:rPr>
                <w:rFonts w:cs="Arial"/>
                <w:b w:val="0"/>
                <w:iCs/>
                <w:color w:val="000000" w:themeColor="text1"/>
                <w:szCs w:val="24"/>
              </w:rPr>
              <w:t>,</w:t>
            </w:r>
            <w:r w:rsidR="007B0FCC">
              <w:rPr>
                <w:rFonts w:cs="Arial"/>
                <w:b w:val="0"/>
                <w:iCs/>
                <w:color w:val="000000" w:themeColor="text1"/>
                <w:szCs w:val="24"/>
              </w:rPr>
              <w:t xml:space="preserve"> Skills,</w:t>
            </w:r>
            <w:r>
              <w:rPr>
                <w:rFonts w:cs="Arial"/>
                <w:b w:val="0"/>
                <w:iCs/>
                <w:color w:val="000000" w:themeColor="text1"/>
                <w:szCs w:val="24"/>
              </w:rPr>
              <w:t xml:space="preserve"> </w:t>
            </w:r>
            <w:r w:rsidR="007B0FCC">
              <w:rPr>
                <w:rFonts w:cs="Arial"/>
                <w:b w:val="0"/>
                <w:iCs/>
                <w:color w:val="000000" w:themeColor="text1"/>
                <w:szCs w:val="24"/>
              </w:rPr>
              <w:t>and Bus Transport</w:t>
            </w:r>
          </w:p>
        </w:tc>
      </w:tr>
      <w:tr w:rsidR="00655DE3" w:rsidRPr="00335902" w14:paraId="09FFE4E8" w14:textId="77777777" w:rsidTr="00EB059C">
        <w:trPr>
          <w:cantSplit/>
        </w:trPr>
        <w:tc>
          <w:tcPr>
            <w:tcW w:w="2493" w:type="dxa"/>
            <w:tcBorders>
              <w:top w:val="single" w:sz="4" w:space="0" w:color="auto"/>
              <w:left w:val="single" w:sz="4" w:space="0" w:color="auto"/>
              <w:bottom w:val="single" w:sz="4" w:space="0" w:color="auto"/>
              <w:right w:val="single" w:sz="4" w:space="0" w:color="auto"/>
            </w:tcBorders>
          </w:tcPr>
          <w:p w14:paraId="702E7A22" w14:textId="77777777" w:rsidR="00655DE3" w:rsidRPr="00EF62A9" w:rsidRDefault="00655DE3" w:rsidP="00F92F94">
            <w:pPr>
              <w:pStyle w:val="Heading1"/>
              <w:spacing w:before="120" w:after="120"/>
              <w:rPr>
                <w:rFonts w:cs="Arial"/>
                <w:szCs w:val="24"/>
              </w:rPr>
            </w:pPr>
            <w:r w:rsidRPr="00EF62A9">
              <w:rPr>
                <w:rFonts w:cs="Arial"/>
                <w:szCs w:val="24"/>
              </w:rPr>
              <w:t>Key Decision</w:t>
            </w:r>
          </w:p>
        </w:tc>
        <w:tc>
          <w:tcPr>
            <w:tcW w:w="8397" w:type="dxa"/>
            <w:gridSpan w:val="2"/>
            <w:tcBorders>
              <w:top w:val="single" w:sz="4" w:space="0" w:color="auto"/>
              <w:left w:val="single" w:sz="4" w:space="0" w:color="auto"/>
              <w:bottom w:val="single" w:sz="4" w:space="0" w:color="auto"/>
              <w:right w:val="single" w:sz="4" w:space="0" w:color="auto"/>
            </w:tcBorders>
          </w:tcPr>
          <w:p w14:paraId="42106502" w14:textId="77777777" w:rsidR="00655DE3" w:rsidRPr="0019748A" w:rsidRDefault="00655DE3" w:rsidP="00F92F94">
            <w:pPr>
              <w:pStyle w:val="Heading1"/>
              <w:spacing w:before="120" w:after="120"/>
              <w:rPr>
                <w:rFonts w:cs="Arial"/>
                <w:b w:val="0"/>
                <w:szCs w:val="24"/>
              </w:rPr>
            </w:pPr>
            <w:r w:rsidRPr="00E903D3">
              <w:rPr>
                <w:rFonts w:cs="Arial"/>
                <w:b w:val="0"/>
                <w:szCs w:val="24"/>
              </w:rPr>
              <w:t>Yes</w:t>
            </w:r>
          </w:p>
        </w:tc>
      </w:tr>
      <w:tr w:rsidR="00655DE3" w:rsidRPr="00335902" w14:paraId="51D8D79D" w14:textId="77777777" w:rsidTr="00EB059C">
        <w:trPr>
          <w:cantSplit/>
          <w:hidden w:val="0"/>
        </w:trPr>
        <w:tc>
          <w:tcPr>
            <w:tcW w:w="2493" w:type="dxa"/>
            <w:tcBorders>
              <w:top w:val="single" w:sz="4" w:space="0" w:color="auto"/>
              <w:left w:val="single" w:sz="4" w:space="0" w:color="auto"/>
              <w:bottom w:val="single" w:sz="4" w:space="0" w:color="auto"/>
              <w:right w:val="single" w:sz="4" w:space="0" w:color="auto"/>
            </w:tcBorders>
          </w:tcPr>
          <w:p w14:paraId="38FD5054" w14:textId="77777777" w:rsidR="00655DE3" w:rsidRPr="0023151D" w:rsidRDefault="00655DE3" w:rsidP="00F92F94">
            <w:pPr>
              <w:pStyle w:val="Heading4"/>
              <w:spacing w:before="120"/>
              <w:rPr>
                <w:rFonts w:cs="Arial"/>
                <w:b/>
                <w:vanish w:val="0"/>
                <w:szCs w:val="24"/>
              </w:rPr>
            </w:pPr>
            <w:r w:rsidRPr="0023151D">
              <w:rPr>
                <w:rFonts w:cs="Arial"/>
                <w:b/>
                <w:vanish w:val="0"/>
                <w:szCs w:val="24"/>
              </w:rPr>
              <w:t>Purpose of Report</w:t>
            </w:r>
          </w:p>
          <w:p w14:paraId="68FF7B42" w14:textId="77777777" w:rsidR="00655DE3" w:rsidRPr="0023151D" w:rsidRDefault="00655DE3" w:rsidP="00F92F94">
            <w:pPr>
              <w:spacing w:before="120"/>
              <w:rPr>
                <w:rFonts w:cs="Arial"/>
                <w:szCs w:val="24"/>
              </w:rPr>
            </w:pPr>
          </w:p>
        </w:tc>
        <w:tc>
          <w:tcPr>
            <w:tcW w:w="8397" w:type="dxa"/>
            <w:gridSpan w:val="2"/>
            <w:tcBorders>
              <w:top w:val="single" w:sz="4" w:space="0" w:color="auto"/>
              <w:left w:val="single" w:sz="4" w:space="0" w:color="auto"/>
              <w:bottom w:val="single" w:sz="4" w:space="0" w:color="auto"/>
              <w:right w:val="single" w:sz="4" w:space="0" w:color="auto"/>
            </w:tcBorders>
          </w:tcPr>
          <w:p w14:paraId="4DCD864F" w14:textId="1369B870" w:rsidR="001E1351" w:rsidRDefault="00655DE3" w:rsidP="001E1351">
            <w:pPr>
              <w:autoSpaceDE w:val="0"/>
              <w:autoSpaceDN w:val="0"/>
              <w:adjustRightInd w:val="0"/>
              <w:rPr>
                <w:rFonts w:cs="Arial"/>
                <w:szCs w:val="24"/>
                <w:lang w:eastAsia="en-GB"/>
              </w:rPr>
            </w:pPr>
            <w:r w:rsidRPr="00865ADD">
              <w:rPr>
                <w:rFonts w:cs="Arial"/>
                <w:szCs w:val="24"/>
                <w:lang w:eastAsia="en-GB"/>
              </w:rPr>
              <w:t xml:space="preserve">To seek </w:t>
            </w:r>
            <w:r w:rsidR="008103E5">
              <w:rPr>
                <w:rFonts w:cs="Arial"/>
                <w:szCs w:val="24"/>
                <w:lang w:eastAsia="en-GB"/>
              </w:rPr>
              <w:t xml:space="preserve">Urgent </w:t>
            </w:r>
            <w:r w:rsidRPr="00865ADD">
              <w:rPr>
                <w:rFonts w:cs="Arial"/>
                <w:szCs w:val="24"/>
                <w:lang w:eastAsia="en-GB"/>
              </w:rPr>
              <w:t>Cabinet Member approval t</w:t>
            </w:r>
            <w:r w:rsidR="001E1351">
              <w:rPr>
                <w:rFonts w:cs="Arial"/>
                <w:szCs w:val="24"/>
                <w:lang w:eastAsia="en-GB"/>
              </w:rPr>
              <w:t>o:</w:t>
            </w:r>
          </w:p>
          <w:p w14:paraId="6BF569BD" w14:textId="77777777" w:rsidR="001E1351" w:rsidRDefault="001E1351" w:rsidP="001E1351">
            <w:pPr>
              <w:autoSpaceDE w:val="0"/>
              <w:autoSpaceDN w:val="0"/>
              <w:adjustRightInd w:val="0"/>
              <w:rPr>
                <w:rFonts w:cs="Arial"/>
                <w:szCs w:val="24"/>
                <w:lang w:eastAsia="en-GB"/>
              </w:rPr>
            </w:pPr>
          </w:p>
          <w:p w14:paraId="5D97497C" w14:textId="3C61F516" w:rsidR="00655DE3" w:rsidRPr="00BE2BEC" w:rsidRDefault="004B66BB" w:rsidP="0027251F">
            <w:pPr>
              <w:pStyle w:val="ListParagraph"/>
              <w:numPr>
                <w:ilvl w:val="0"/>
                <w:numId w:val="26"/>
              </w:numPr>
              <w:autoSpaceDE w:val="0"/>
              <w:autoSpaceDN w:val="0"/>
              <w:adjustRightInd w:val="0"/>
              <w:rPr>
                <w:rFonts w:ascii="Arial" w:hAnsi="Arial" w:cs="Arial"/>
                <w:sz w:val="24"/>
                <w:szCs w:val="28"/>
              </w:rPr>
            </w:pPr>
            <w:r w:rsidRPr="00BE2BEC">
              <w:rPr>
                <w:rFonts w:ascii="Arial" w:hAnsi="Arial" w:cs="Arial"/>
                <w:sz w:val="24"/>
                <w:szCs w:val="28"/>
              </w:rPr>
              <w:t>accept the Department of Education</w:t>
            </w:r>
            <w:r w:rsidR="00535C1F" w:rsidRPr="00BE2BEC">
              <w:rPr>
                <w:rFonts w:ascii="Arial" w:hAnsi="Arial" w:cs="Arial"/>
                <w:sz w:val="24"/>
                <w:szCs w:val="28"/>
              </w:rPr>
              <w:t xml:space="preserve"> (DfE)</w:t>
            </w:r>
            <w:r w:rsidRPr="00BE2BEC">
              <w:rPr>
                <w:rFonts w:ascii="Arial" w:hAnsi="Arial" w:cs="Arial"/>
                <w:sz w:val="24"/>
                <w:szCs w:val="28"/>
              </w:rPr>
              <w:t xml:space="preserve"> </w:t>
            </w:r>
            <w:r w:rsidR="00EE25EC" w:rsidRPr="00BE2BEC">
              <w:rPr>
                <w:rFonts w:ascii="Arial" w:hAnsi="Arial" w:cs="Arial"/>
                <w:sz w:val="24"/>
                <w:szCs w:val="28"/>
              </w:rPr>
              <w:t>UK Shared Prosperity Fund (UKSPF)</w:t>
            </w:r>
            <w:r w:rsidRPr="00BE2BEC">
              <w:rPr>
                <w:rFonts w:ascii="Arial" w:hAnsi="Arial" w:cs="Arial"/>
                <w:sz w:val="24"/>
                <w:szCs w:val="28"/>
              </w:rPr>
              <w:t xml:space="preserve"> Grant of £</w:t>
            </w:r>
            <w:r w:rsidR="00735E63" w:rsidRPr="00BE2BEC">
              <w:rPr>
                <w:rFonts w:ascii="Arial" w:hAnsi="Arial" w:cs="Arial"/>
                <w:sz w:val="24"/>
                <w:szCs w:val="28"/>
              </w:rPr>
              <w:t>822,166.00</w:t>
            </w:r>
            <w:r w:rsidR="00E92F71" w:rsidRPr="00BE2BEC">
              <w:rPr>
                <w:rFonts w:ascii="Arial" w:hAnsi="Arial" w:cs="Arial"/>
                <w:sz w:val="24"/>
                <w:szCs w:val="28"/>
              </w:rPr>
              <w:t xml:space="preserve"> </w:t>
            </w:r>
            <w:r w:rsidR="00EE25EC" w:rsidRPr="00BE2BEC">
              <w:rPr>
                <w:rFonts w:ascii="Arial" w:hAnsi="Arial" w:cs="Arial"/>
                <w:sz w:val="24"/>
                <w:szCs w:val="28"/>
              </w:rPr>
              <w:t xml:space="preserve">to deliver </w:t>
            </w:r>
            <w:r w:rsidR="00E92F71" w:rsidRPr="00BE2BEC">
              <w:rPr>
                <w:rFonts w:ascii="Arial" w:hAnsi="Arial" w:cs="Arial"/>
                <w:sz w:val="24"/>
                <w:szCs w:val="28"/>
              </w:rPr>
              <w:t>year 1 (2022-20</w:t>
            </w:r>
            <w:r w:rsidR="00ED2391" w:rsidRPr="00BE2BEC">
              <w:rPr>
                <w:rFonts w:ascii="Arial" w:hAnsi="Arial" w:cs="Arial"/>
                <w:sz w:val="24"/>
                <w:szCs w:val="28"/>
              </w:rPr>
              <w:t>2</w:t>
            </w:r>
            <w:r w:rsidR="00E92F71" w:rsidRPr="00BE2BEC">
              <w:rPr>
                <w:rFonts w:ascii="Arial" w:hAnsi="Arial" w:cs="Arial"/>
                <w:sz w:val="24"/>
                <w:szCs w:val="28"/>
              </w:rPr>
              <w:t xml:space="preserve">3) of </w:t>
            </w:r>
            <w:r w:rsidR="00EE25EC" w:rsidRPr="00BE2BEC">
              <w:rPr>
                <w:rFonts w:ascii="Arial" w:hAnsi="Arial" w:cs="Arial"/>
                <w:sz w:val="24"/>
                <w:szCs w:val="28"/>
              </w:rPr>
              <w:t>the Multiply programme</w:t>
            </w:r>
            <w:r w:rsidR="00535C1F" w:rsidRPr="00BE2BEC">
              <w:rPr>
                <w:rFonts w:ascii="Arial" w:hAnsi="Arial" w:cs="Arial"/>
                <w:sz w:val="24"/>
                <w:szCs w:val="28"/>
              </w:rPr>
              <w:t xml:space="preserve"> as set out in the Investment Plan for Gloucestershire</w:t>
            </w:r>
            <w:r w:rsidR="00AB4F91" w:rsidRPr="00BE2BEC">
              <w:rPr>
                <w:rFonts w:ascii="Arial" w:hAnsi="Arial" w:cs="Arial"/>
                <w:sz w:val="24"/>
                <w:szCs w:val="28"/>
              </w:rPr>
              <w:t xml:space="preserve">. </w:t>
            </w:r>
            <w:r w:rsidR="00DD685D" w:rsidRPr="00BE2BEC">
              <w:rPr>
                <w:rFonts w:ascii="Arial" w:hAnsi="Arial" w:cs="Arial"/>
                <w:sz w:val="24"/>
                <w:szCs w:val="28"/>
              </w:rPr>
              <w:t>(Year 1 of a 3-year programme).</w:t>
            </w:r>
          </w:p>
          <w:p w14:paraId="417AC4CA" w14:textId="77777777" w:rsidR="0027251F" w:rsidRPr="00BE2BEC" w:rsidRDefault="0027251F" w:rsidP="0027251F">
            <w:pPr>
              <w:autoSpaceDE w:val="0"/>
              <w:autoSpaceDN w:val="0"/>
              <w:adjustRightInd w:val="0"/>
              <w:rPr>
                <w:rFonts w:cs="Arial"/>
                <w:sz w:val="28"/>
                <w:szCs w:val="28"/>
                <w:lang w:eastAsia="en-GB"/>
              </w:rPr>
            </w:pPr>
          </w:p>
          <w:p w14:paraId="40E6F941" w14:textId="4CE04495" w:rsidR="00DD685D" w:rsidRPr="00BE2BEC" w:rsidRDefault="00046DBB" w:rsidP="0027251F">
            <w:pPr>
              <w:pStyle w:val="ListParagraph"/>
              <w:numPr>
                <w:ilvl w:val="0"/>
                <w:numId w:val="26"/>
              </w:numPr>
              <w:autoSpaceDE w:val="0"/>
              <w:autoSpaceDN w:val="0"/>
              <w:adjustRightInd w:val="0"/>
              <w:rPr>
                <w:rFonts w:ascii="Arial" w:hAnsi="Arial" w:cs="Arial"/>
                <w:sz w:val="24"/>
                <w:szCs w:val="28"/>
              </w:rPr>
            </w:pPr>
            <w:r w:rsidRPr="00BE2BEC">
              <w:rPr>
                <w:rFonts w:ascii="Arial" w:hAnsi="Arial" w:cs="Arial"/>
                <w:sz w:val="24"/>
                <w:szCs w:val="28"/>
              </w:rPr>
              <w:t>e</w:t>
            </w:r>
            <w:r w:rsidR="001E1351" w:rsidRPr="00BE2BEC">
              <w:rPr>
                <w:rFonts w:ascii="Arial" w:hAnsi="Arial" w:cs="Arial"/>
                <w:sz w:val="24"/>
                <w:szCs w:val="28"/>
              </w:rPr>
              <w:t>nter into the funding agreement with DfE for the purpose of funding the delivery the UK Shared Prosperity Fund (UKSPF) Multiply Programme (2022-2023) – Year 1.</w:t>
            </w:r>
            <w:r w:rsidR="00E70D07" w:rsidRPr="00BE2BEC">
              <w:rPr>
                <w:rFonts w:ascii="Arial" w:hAnsi="Arial" w:cs="Arial"/>
                <w:sz w:val="24"/>
                <w:szCs w:val="28"/>
              </w:rPr>
              <w:t xml:space="preserve"> (</w:t>
            </w:r>
            <w:r w:rsidR="00DD685D" w:rsidRPr="00BE2BEC">
              <w:rPr>
                <w:rFonts w:ascii="Arial" w:hAnsi="Arial" w:cs="Arial"/>
                <w:sz w:val="24"/>
                <w:szCs w:val="28"/>
              </w:rPr>
              <w:t>Year 1 of a 3-year programme).</w:t>
            </w:r>
          </w:p>
          <w:p w14:paraId="1C2EC323" w14:textId="77777777" w:rsidR="0027251F" w:rsidRPr="00BE2BEC" w:rsidRDefault="0027251F" w:rsidP="0027251F">
            <w:pPr>
              <w:autoSpaceDE w:val="0"/>
              <w:autoSpaceDN w:val="0"/>
              <w:adjustRightInd w:val="0"/>
              <w:rPr>
                <w:rFonts w:cs="Arial"/>
                <w:sz w:val="28"/>
                <w:szCs w:val="28"/>
                <w:lang w:eastAsia="en-GB"/>
              </w:rPr>
            </w:pPr>
          </w:p>
          <w:p w14:paraId="23B780E7" w14:textId="522FF31A" w:rsidR="001E1351" w:rsidRPr="00BE2BEC" w:rsidRDefault="00DD685D" w:rsidP="00BE2BEC">
            <w:pPr>
              <w:pStyle w:val="ListParagraph"/>
              <w:numPr>
                <w:ilvl w:val="0"/>
                <w:numId w:val="26"/>
              </w:numPr>
              <w:autoSpaceDE w:val="0"/>
              <w:autoSpaceDN w:val="0"/>
              <w:adjustRightInd w:val="0"/>
              <w:rPr>
                <w:rFonts w:ascii="Arial" w:hAnsi="Arial" w:cs="Arial"/>
                <w:szCs w:val="24"/>
              </w:rPr>
            </w:pPr>
            <w:r w:rsidRPr="00BE2BEC">
              <w:rPr>
                <w:rFonts w:ascii="Arial" w:hAnsi="Arial" w:cs="Arial"/>
                <w:sz w:val="24"/>
                <w:szCs w:val="28"/>
              </w:rPr>
              <w:t>set up legal grant agreements with local stakeholders to deliver the programme in accordance with the Investment Plan.</w:t>
            </w:r>
          </w:p>
        </w:tc>
      </w:tr>
      <w:tr w:rsidR="00655DE3" w:rsidRPr="00335902" w14:paraId="5F93C688" w14:textId="77777777" w:rsidTr="00EB059C">
        <w:trPr>
          <w:cantSplit/>
        </w:trPr>
        <w:tc>
          <w:tcPr>
            <w:tcW w:w="2493" w:type="dxa"/>
            <w:tcBorders>
              <w:top w:val="single" w:sz="4" w:space="0" w:color="auto"/>
              <w:left w:val="single" w:sz="4" w:space="0" w:color="auto"/>
              <w:bottom w:val="single" w:sz="4" w:space="0" w:color="auto"/>
              <w:right w:val="single" w:sz="4" w:space="0" w:color="auto"/>
            </w:tcBorders>
            <w:vAlign w:val="center"/>
          </w:tcPr>
          <w:p w14:paraId="06D476A2" w14:textId="07AD14B7" w:rsidR="00655DE3" w:rsidRPr="00E903D3" w:rsidRDefault="00737B4B" w:rsidP="00F92F94">
            <w:pPr>
              <w:spacing w:before="120" w:after="120"/>
              <w:rPr>
                <w:rFonts w:cs="Arial"/>
                <w:b/>
                <w:szCs w:val="24"/>
              </w:rPr>
            </w:pPr>
            <w:r>
              <w:rPr>
                <w:rFonts w:cs="Arial"/>
                <w:b/>
                <w:szCs w:val="24"/>
              </w:rPr>
              <w:t>Recommendations</w:t>
            </w:r>
          </w:p>
        </w:tc>
        <w:tc>
          <w:tcPr>
            <w:tcW w:w="8397" w:type="dxa"/>
            <w:gridSpan w:val="2"/>
            <w:tcBorders>
              <w:top w:val="single" w:sz="4" w:space="0" w:color="auto"/>
              <w:left w:val="single" w:sz="4" w:space="0" w:color="auto"/>
              <w:bottom w:val="single" w:sz="4" w:space="0" w:color="auto"/>
              <w:right w:val="single" w:sz="4" w:space="0" w:color="auto"/>
            </w:tcBorders>
            <w:shd w:val="clear" w:color="auto" w:fill="auto"/>
          </w:tcPr>
          <w:p w14:paraId="1FD7DB1A" w14:textId="70484CA6" w:rsidR="00655DE3" w:rsidRPr="00F24AF4" w:rsidRDefault="00655DE3" w:rsidP="00F92F94">
            <w:pPr>
              <w:autoSpaceDE w:val="0"/>
              <w:autoSpaceDN w:val="0"/>
              <w:adjustRightInd w:val="0"/>
              <w:rPr>
                <w:rFonts w:cs="Arial"/>
                <w:szCs w:val="24"/>
                <w:lang w:eastAsia="en-GB"/>
              </w:rPr>
            </w:pPr>
            <w:bookmarkStart w:id="0" w:name="_Hlk103184868"/>
            <w:r w:rsidRPr="00F24AF4">
              <w:rPr>
                <w:rFonts w:cs="Arial"/>
                <w:szCs w:val="24"/>
                <w:lang w:eastAsia="en-GB"/>
              </w:rPr>
              <w:t xml:space="preserve">That the Cabinet Member for </w:t>
            </w:r>
            <w:r w:rsidR="00ED100A" w:rsidRPr="00F24AF4">
              <w:rPr>
                <w:rFonts w:cs="Arial"/>
                <w:szCs w:val="24"/>
                <w:lang w:eastAsia="en-GB"/>
              </w:rPr>
              <w:t>Education</w:t>
            </w:r>
            <w:r w:rsidRPr="00F24AF4">
              <w:rPr>
                <w:rFonts w:cs="Arial"/>
                <w:szCs w:val="24"/>
                <w:lang w:eastAsia="en-GB"/>
              </w:rPr>
              <w:t>,</w:t>
            </w:r>
            <w:r w:rsidR="007B0FCC" w:rsidRPr="00F24AF4">
              <w:rPr>
                <w:rFonts w:cs="Arial"/>
                <w:szCs w:val="24"/>
                <w:lang w:eastAsia="en-GB"/>
              </w:rPr>
              <w:t xml:space="preserve"> </w:t>
            </w:r>
            <w:r w:rsidRPr="00F24AF4">
              <w:rPr>
                <w:rFonts w:cs="Arial"/>
                <w:szCs w:val="24"/>
                <w:lang w:eastAsia="en-GB"/>
              </w:rPr>
              <w:t>Skills</w:t>
            </w:r>
            <w:r w:rsidR="007B0FCC" w:rsidRPr="00F24AF4">
              <w:rPr>
                <w:rFonts w:cs="Arial"/>
                <w:szCs w:val="24"/>
                <w:lang w:eastAsia="en-GB"/>
              </w:rPr>
              <w:t xml:space="preserve"> and Bus Transport</w:t>
            </w:r>
            <w:r w:rsidR="00EE25EC" w:rsidRPr="00F24AF4">
              <w:rPr>
                <w:rFonts w:cs="Arial"/>
                <w:szCs w:val="24"/>
                <w:lang w:eastAsia="en-GB"/>
              </w:rPr>
              <w:t xml:space="preserve"> delegates authority to the Executive Director of E</w:t>
            </w:r>
            <w:r w:rsidR="00EE1240" w:rsidRPr="00F24AF4">
              <w:rPr>
                <w:rFonts w:cs="Arial"/>
                <w:szCs w:val="24"/>
                <w:lang w:eastAsia="en-GB"/>
              </w:rPr>
              <w:t>conomy, Environment and Infrastructure</w:t>
            </w:r>
            <w:r w:rsidR="0004182D" w:rsidRPr="00F24AF4">
              <w:rPr>
                <w:rFonts w:cs="Arial"/>
                <w:szCs w:val="24"/>
                <w:lang w:eastAsia="en-GB"/>
              </w:rPr>
              <w:t>, in consultation with the Cabinet Member for Education, Skills and Bus Transport</w:t>
            </w:r>
            <w:r w:rsidR="00EE1240" w:rsidRPr="00F24AF4">
              <w:rPr>
                <w:rFonts w:cs="Arial"/>
                <w:szCs w:val="24"/>
                <w:lang w:eastAsia="en-GB"/>
              </w:rPr>
              <w:t xml:space="preserve"> t</w:t>
            </w:r>
            <w:r w:rsidR="00C8305A">
              <w:rPr>
                <w:rFonts w:cs="Arial"/>
                <w:szCs w:val="24"/>
                <w:lang w:eastAsia="en-GB"/>
              </w:rPr>
              <w:t>o:</w:t>
            </w:r>
          </w:p>
          <w:p w14:paraId="4A23D427" w14:textId="5B8ECAC3" w:rsidR="00EE1240" w:rsidRPr="00F24AF4" w:rsidRDefault="00EE1240" w:rsidP="00F92F94">
            <w:pPr>
              <w:autoSpaceDE w:val="0"/>
              <w:autoSpaceDN w:val="0"/>
              <w:adjustRightInd w:val="0"/>
              <w:rPr>
                <w:rFonts w:cs="Arial"/>
                <w:szCs w:val="24"/>
                <w:lang w:eastAsia="en-GB"/>
              </w:rPr>
            </w:pPr>
          </w:p>
          <w:p w14:paraId="3F92F77E" w14:textId="5CA894E3" w:rsidR="0004182D" w:rsidRPr="00BE2BEC" w:rsidRDefault="00046DBB" w:rsidP="00BE2BEC">
            <w:pPr>
              <w:pStyle w:val="ListParagraph"/>
              <w:numPr>
                <w:ilvl w:val="0"/>
                <w:numId w:val="27"/>
              </w:numPr>
              <w:autoSpaceDE w:val="0"/>
              <w:autoSpaceDN w:val="0"/>
              <w:adjustRightInd w:val="0"/>
              <w:rPr>
                <w:rFonts w:ascii="Arial" w:hAnsi="Arial" w:cs="Arial"/>
                <w:sz w:val="24"/>
                <w:szCs w:val="28"/>
              </w:rPr>
            </w:pPr>
            <w:bookmarkStart w:id="1" w:name="_Hlk112084493"/>
            <w:r w:rsidRPr="00BE2BEC">
              <w:rPr>
                <w:rFonts w:ascii="Arial" w:hAnsi="Arial" w:cs="Arial"/>
                <w:sz w:val="24"/>
                <w:szCs w:val="28"/>
              </w:rPr>
              <w:t>a</w:t>
            </w:r>
            <w:r w:rsidR="000E35CB" w:rsidRPr="00BE2BEC">
              <w:rPr>
                <w:rFonts w:ascii="Arial" w:hAnsi="Arial" w:cs="Arial"/>
                <w:sz w:val="24"/>
                <w:szCs w:val="28"/>
              </w:rPr>
              <w:t>ccept the grant and e</w:t>
            </w:r>
            <w:r w:rsidR="0004182D" w:rsidRPr="00BE2BEC">
              <w:rPr>
                <w:rFonts w:ascii="Arial" w:hAnsi="Arial" w:cs="Arial"/>
                <w:sz w:val="24"/>
                <w:szCs w:val="28"/>
              </w:rPr>
              <w:t>nter into a funding agreement with the DfE</w:t>
            </w:r>
            <w:r w:rsidR="004A46EA" w:rsidRPr="00BE2BEC">
              <w:rPr>
                <w:rFonts w:ascii="Arial" w:hAnsi="Arial" w:cs="Arial"/>
                <w:sz w:val="24"/>
                <w:szCs w:val="28"/>
              </w:rPr>
              <w:t xml:space="preserve"> (Department for Education</w:t>
            </w:r>
            <w:r w:rsidR="00E36EF3" w:rsidRPr="00BE2BEC">
              <w:rPr>
                <w:rFonts w:ascii="Arial" w:hAnsi="Arial" w:cs="Arial"/>
                <w:sz w:val="24"/>
                <w:szCs w:val="28"/>
              </w:rPr>
              <w:t>)</w:t>
            </w:r>
          </w:p>
          <w:p w14:paraId="54D83D83" w14:textId="77777777" w:rsidR="00E36EF3" w:rsidRPr="00BE2BEC" w:rsidRDefault="00E36EF3" w:rsidP="00E36EF3">
            <w:pPr>
              <w:pStyle w:val="ListParagraph"/>
              <w:autoSpaceDE w:val="0"/>
              <w:autoSpaceDN w:val="0"/>
              <w:adjustRightInd w:val="0"/>
              <w:rPr>
                <w:rFonts w:ascii="Arial" w:hAnsi="Arial" w:cs="Arial"/>
                <w:sz w:val="28"/>
                <w:szCs w:val="28"/>
              </w:rPr>
            </w:pPr>
          </w:p>
          <w:p w14:paraId="553E4B5A" w14:textId="1F5DB4AE" w:rsidR="009B57C0" w:rsidRDefault="00046DBB" w:rsidP="000D0E42">
            <w:pPr>
              <w:pStyle w:val="ListParagraph"/>
              <w:numPr>
                <w:ilvl w:val="0"/>
                <w:numId w:val="27"/>
              </w:numPr>
              <w:autoSpaceDE w:val="0"/>
              <w:autoSpaceDN w:val="0"/>
              <w:adjustRightInd w:val="0"/>
              <w:rPr>
                <w:rFonts w:ascii="Arial" w:hAnsi="Arial" w:cs="Arial"/>
                <w:sz w:val="24"/>
                <w:szCs w:val="28"/>
              </w:rPr>
            </w:pPr>
            <w:bookmarkStart w:id="2" w:name="_Hlk112395968"/>
            <w:r w:rsidRPr="00962750">
              <w:rPr>
                <w:rFonts w:ascii="Arial" w:hAnsi="Arial" w:cs="Arial"/>
                <w:sz w:val="24"/>
                <w:szCs w:val="28"/>
              </w:rPr>
              <w:t>e</w:t>
            </w:r>
            <w:r w:rsidR="008106EE" w:rsidRPr="00962750">
              <w:rPr>
                <w:rFonts w:ascii="Arial" w:hAnsi="Arial" w:cs="Arial"/>
                <w:sz w:val="24"/>
                <w:szCs w:val="28"/>
              </w:rPr>
              <w:t>stablish</w:t>
            </w:r>
            <w:r w:rsidR="00FB450E" w:rsidRPr="00962750">
              <w:rPr>
                <w:rFonts w:ascii="Arial" w:hAnsi="Arial" w:cs="Arial"/>
                <w:sz w:val="24"/>
                <w:szCs w:val="28"/>
              </w:rPr>
              <w:t xml:space="preserve"> a </w:t>
            </w:r>
            <w:r w:rsidR="00150351" w:rsidRPr="00962750">
              <w:rPr>
                <w:rFonts w:ascii="Arial" w:hAnsi="Arial" w:cs="Arial"/>
                <w:sz w:val="24"/>
                <w:szCs w:val="28"/>
              </w:rPr>
              <w:t>grant</w:t>
            </w:r>
            <w:r w:rsidR="000E35CB" w:rsidRPr="00962750">
              <w:rPr>
                <w:rFonts w:ascii="Arial" w:hAnsi="Arial" w:cs="Arial"/>
                <w:sz w:val="24"/>
                <w:szCs w:val="28"/>
              </w:rPr>
              <w:t xml:space="preserve"> </w:t>
            </w:r>
            <w:r w:rsidR="008106EE" w:rsidRPr="00962750">
              <w:rPr>
                <w:rFonts w:ascii="Arial" w:hAnsi="Arial" w:cs="Arial"/>
                <w:sz w:val="24"/>
                <w:szCs w:val="28"/>
              </w:rPr>
              <w:t>funding</w:t>
            </w:r>
            <w:r w:rsidR="00CA6DA2" w:rsidRPr="00962750">
              <w:rPr>
                <w:rFonts w:ascii="Arial" w:hAnsi="Arial" w:cs="Arial"/>
                <w:sz w:val="24"/>
                <w:szCs w:val="28"/>
              </w:rPr>
              <w:t xml:space="preserve"> </w:t>
            </w:r>
            <w:r w:rsidR="00FB450E" w:rsidRPr="00962750">
              <w:rPr>
                <w:rFonts w:ascii="Arial" w:hAnsi="Arial" w:cs="Arial"/>
                <w:sz w:val="24"/>
                <w:szCs w:val="28"/>
              </w:rPr>
              <w:t xml:space="preserve">process </w:t>
            </w:r>
            <w:r w:rsidR="008A2AF8">
              <w:rPr>
                <w:rFonts w:ascii="Arial" w:hAnsi="Arial" w:cs="Arial"/>
                <w:sz w:val="24"/>
                <w:szCs w:val="28"/>
              </w:rPr>
              <w:t>for the provision of</w:t>
            </w:r>
            <w:r w:rsidR="00CA6DA2" w:rsidRPr="00962750">
              <w:rPr>
                <w:rFonts w:ascii="Arial" w:hAnsi="Arial" w:cs="Arial"/>
                <w:sz w:val="24"/>
                <w:szCs w:val="28"/>
              </w:rPr>
              <w:t xml:space="preserve"> the services of key stakeholders</w:t>
            </w:r>
            <w:r w:rsidR="008106EE" w:rsidRPr="00962750">
              <w:rPr>
                <w:rFonts w:ascii="Arial" w:hAnsi="Arial" w:cs="Arial"/>
                <w:sz w:val="24"/>
                <w:szCs w:val="28"/>
              </w:rPr>
              <w:t xml:space="preserve"> </w:t>
            </w:r>
            <w:r w:rsidR="00DD685D" w:rsidRPr="00962750">
              <w:rPr>
                <w:rFonts w:ascii="Arial" w:hAnsi="Arial" w:cs="Arial"/>
                <w:sz w:val="24"/>
                <w:szCs w:val="28"/>
              </w:rPr>
              <w:t>in line with the Multiply funding guidance to support the delivery of the programme</w:t>
            </w:r>
            <w:r w:rsidR="00CA6DA2" w:rsidRPr="00962750">
              <w:rPr>
                <w:rFonts w:ascii="Arial" w:hAnsi="Arial" w:cs="Arial"/>
                <w:sz w:val="24"/>
                <w:szCs w:val="28"/>
              </w:rPr>
              <w:t xml:space="preserve"> for the duration of the contract</w:t>
            </w:r>
            <w:r w:rsidR="00C34DB6" w:rsidRPr="00962750">
              <w:rPr>
                <w:rFonts w:ascii="Arial" w:hAnsi="Arial" w:cs="Arial"/>
                <w:sz w:val="24"/>
                <w:szCs w:val="28"/>
              </w:rPr>
              <w:t xml:space="preserve">. </w:t>
            </w:r>
          </w:p>
          <w:bookmarkEnd w:id="2"/>
          <w:p w14:paraId="1223E82F" w14:textId="77777777" w:rsidR="00962750" w:rsidRPr="00962750" w:rsidRDefault="00962750" w:rsidP="00962750">
            <w:pPr>
              <w:pStyle w:val="ListParagraph"/>
              <w:rPr>
                <w:rFonts w:ascii="Arial" w:hAnsi="Arial" w:cs="Arial"/>
                <w:sz w:val="24"/>
                <w:szCs w:val="28"/>
              </w:rPr>
            </w:pPr>
          </w:p>
          <w:p w14:paraId="74F3ED96" w14:textId="5B0822A7" w:rsidR="00655DE3" w:rsidRPr="009101A7" w:rsidRDefault="009B57C0" w:rsidP="009101A7">
            <w:pPr>
              <w:pStyle w:val="ListParagraph"/>
              <w:numPr>
                <w:ilvl w:val="0"/>
                <w:numId w:val="27"/>
              </w:numPr>
              <w:autoSpaceDE w:val="0"/>
              <w:autoSpaceDN w:val="0"/>
              <w:adjustRightInd w:val="0"/>
              <w:rPr>
                <w:rFonts w:ascii="Arial" w:hAnsi="Arial" w:cs="Arial"/>
                <w:sz w:val="24"/>
                <w:szCs w:val="28"/>
              </w:rPr>
            </w:pPr>
            <w:bookmarkStart w:id="3" w:name="_Hlk112230252"/>
            <w:r w:rsidRPr="009101A7">
              <w:rPr>
                <w:rFonts w:ascii="Arial" w:hAnsi="Arial" w:cs="Arial"/>
                <w:sz w:val="24"/>
                <w:szCs w:val="28"/>
              </w:rPr>
              <w:t xml:space="preserve">recruit and appoint </w:t>
            </w:r>
            <w:r w:rsidR="00AB4F91" w:rsidRPr="009101A7">
              <w:rPr>
                <w:rFonts w:ascii="Arial" w:hAnsi="Arial" w:cs="Arial"/>
                <w:sz w:val="24"/>
                <w:szCs w:val="28"/>
              </w:rPr>
              <w:t>five</w:t>
            </w:r>
            <w:r w:rsidRPr="009101A7">
              <w:rPr>
                <w:rFonts w:ascii="Arial" w:hAnsi="Arial" w:cs="Arial"/>
                <w:sz w:val="24"/>
                <w:szCs w:val="28"/>
              </w:rPr>
              <w:t xml:space="preserve"> new staff members</w:t>
            </w:r>
            <w:r w:rsidR="005F459F">
              <w:rPr>
                <w:rFonts w:ascii="Arial" w:hAnsi="Arial" w:cs="Arial"/>
                <w:sz w:val="24"/>
                <w:szCs w:val="28"/>
              </w:rPr>
              <w:t xml:space="preserve"> on fixed term contract</w:t>
            </w:r>
            <w:r w:rsidR="008103E5">
              <w:rPr>
                <w:rFonts w:ascii="Arial" w:hAnsi="Arial" w:cs="Arial"/>
                <w:sz w:val="24"/>
                <w:szCs w:val="28"/>
              </w:rPr>
              <w:t>s</w:t>
            </w:r>
            <w:r w:rsidRPr="009101A7">
              <w:rPr>
                <w:rFonts w:ascii="Arial" w:hAnsi="Arial" w:cs="Arial"/>
                <w:sz w:val="24"/>
                <w:szCs w:val="28"/>
              </w:rPr>
              <w:t xml:space="preserve"> to undertake the project management on the delivery of the programme</w:t>
            </w:r>
            <w:r w:rsidR="00AB4F91" w:rsidRPr="009101A7">
              <w:rPr>
                <w:rFonts w:ascii="Arial" w:hAnsi="Arial" w:cs="Arial"/>
                <w:sz w:val="24"/>
                <w:szCs w:val="28"/>
              </w:rPr>
              <w:t xml:space="preserve">. </w:t>
            </w:r>
            <w:r w:rsidRPr="009101A7">
              <w:rPr>
                <w:rFonts w:ascii="Arial" w:hAnsi="Arial" w:cs="Arial"/>
                <w:sz w:val="24"/>
                <w:szCs w:val="28"/>
              </w:rPr>
              <w:t xml:space="preserve">The cost of which has been included in the investment plan accepted by the DfE. </w:t>
            </w:r>
            <w:bookmarkEnd w:id="0"/>
            <w:bookmarkEnd w:id="1"/>
          </w:p>
          <w:bookmarkEnd w:id="3"/>
          <w:p w14:paraId="2ABE3F6B" w14:textId="2A72109C" w:rsidR="009101A7" w:rsidRPr="00F24AF4" w:rsidRDefault="009101A7" w:rsidP="009101A7">
            <w:pPr>
              <w:pStyle w:val="ListParagraph"/>
              <w:autoSpaceDE w:val="0"/>
              <w:autoSpaceDN w:val="0"/>
              <w:adjustRightInd w:val="0"/>
              <w:rPr>
                <w:rFonts w:cs="Arial"/>
                <w:color w:val="000000"/>
                <w:szCs w:val="24"/>
              </w:rPr>
            </w:pPr>
          </w:p>
        </w:tc>
      </w:tr>
      <w:tr w:rsidR="00655DE3" w:rsidRPr="00335902" w14:paraId="072E3359" w14:textId="77777777" w:rsidTr="00EB059C">
        <w:trPr>
          <w:cantSplit/>
        </w:trPr>
        <w:tc>
          <w:tcPr>
            <w:tcW w:w="2493" w:type="dxa"/>
            <w:tcBorders>
              <w:top w:val="single" w:sz="4" w:space="0" w:color="auto"/>
              <w:left w:val="single" w:sz="4" w:space="0" w:color="auto"/>
              <w:bottom w:val="single" w:sz="4" w:space="0" w:color="auto"/>
              <w:right w:val="single" w:sz="4" w:space="0" w:color="auto"/>
            </w:tcBorders>
            <w:vAlign w:val="center"/>
          </w:tcPr>
          <w:p w14:paraId="4334475E" w14:textId="77777777" w:rsidR="00655DE3" w:rsidRPr="0019748A" w:rsidRDefault="00655DE3" w:rsidP="00F92F94">
            <w:pPr>
              <w:spacing w:before="120" w:after="120"/>
              <w:rPr>
                <w:rFonts w:cs="Arial"/>
                <w:b/>
                <w:szCs w:val="24"/>
              </w:rPr>
            </w:pPr>
            <w:r w:rsidRPr="00EF62A9">
              <w:rPr>
                <w:rFonts w:cs="Arial"/>
                <w:b/>
                <w:szCs w:val="24"/>
              </w:rPr>
              <w:lastRenderedPageBreak/>
              <w:t xml:space="preserve">Reasons for </w:t>
            </w:r>
            <w:r w:rsidRPr="00E903D3">
              <w:rPr>
                <w:rFonts w:cs="Arial"/>
                <w:b/>
                <w:szCs w:val="24"/>
              </w:rPr>
              <w:t>Recommendations</w:t>
            </w:r>
          </w:p>
        </w:tc>
        <w:tc>
          <w:tcPr>
            <w:tcW w:w="8397" w:type="dxa"/>
            <w:gridSpan w:val="2"/>
            <w:tcBorders>
              <w:top w:val="single" w:sz="4" w:space="0" w:color="auto"/>
              <w:left w:val="single" w:sz="4" w:space="0" w:color="auto"/>
              <w:bottom w:val="single" w:sz="4" w:space="0" w:color="auto"/>
              <w:right w:val="single" w:sz="4" w:space="0" w:color="auto"/>
            </w:tcBorders>
          </w:tcPr>
          <w:p w14:paraId="4BD42C3A" w14:textId="5F5C6B3F" w:rsidR="00195BE7" w:rsidRDefault="0027251F" w:rsidP="0027251F">
            <w:pPr>
              <w:autoSpaceDE w:val="0"/>
              <w:autoSpaceDN w:val="0"/>
              <w:adjustRightInd w:val="0"/>
              <w:rPr>
                <w:rFonts w:cs="Arial"/>
                <w:szCs w:val="24"/>
                <w:lang w:eastAsia="en-GB"/>
              </w:rPr>
            </w:pPr>
            <w:r>
              <w:rPr>
                <w:rFonts w:cs="Arial"/>
                <w:szCs w:val="24"/>
                <w:lang w:eastAsia="en-GB"/>
              </w:rPr>
              <w:t>Due to the urgency and the limited time allowed to start the Multiply programme</w:t>
            </w:r>
            <w:r w:rsidR="00737B4B">
              <w:rPr>
                <w:rFonts w:cs="Arial"/>
                <w:szCs w:val="24"/>
                <w:lang w:eastAsia="en-GB"/>
              </w:rPr>
              <w:t xml:space="preserve"> it is necessary </w:t>
            </w:r>
            <w:r>
              <w:rPr>
                <w:rFonts w:cs="Arial"/>
                <w:szCs w:val="24"/>
                <w:lang w:eastAsia="en-GB"/>
              </w:rPr>
              <w:t xml:space="preserve">for the </w:t>
            </w:r>
            <w:r w:rsidRPr="00F24AF4">
              <w:rPr>
                <w:rFonts w:cs="Arial"/>
                <w:szCs w:val="24"/>
                <w:lang w:eastAsia="en-GB"/>
              </w:rPr>
              <w:t xml:space="preserve">Cabinet Member for Education, </w:t>
            </w:r>
            <w:r w:rsidR="00BE2BEC" w:rsidRPr="00F24AF4">
              <w:rPr>
                <w:rFonts w:cs="Arial"/>
                <w:szCs w:val="24"/>
                <w:lang w:eastAsia="en-GB"/>
              </w:rPr>
              <w:t>Skills,</w:t>
            </w:r>
            <w:r w:rsidRPr="00F24AF4">
              <w:rPr>
                <w:rFonts w:cs="Arial"/>
                <w:szCs w:val="24"/>
                <w:lang w:eastAsia="en-GB"/>
              </w:rPr>
              <w:t xml:space="preserve"> and Bus Transport</w:t>
            </w:r>
            <w:r>
              <w:rPr>
                <w:rFonts w:cs="Arial"/>
                <w:szCs w:val="24"/>
                <w:lang w:eastAsia="en-GB"/>
              </w:rPr>
              <w:t xml:space="preserve"> to </w:t>
            </w:r>
            <w:r w:rsidRPr="00F24AF4">
              <w:rPr>
                <w:rFonts w:cs="Arial"/>
                <w:szCs w:val="24"/>
                <w:lang w:eastAsia="en-GB"/>
              </w:rPr>
              <w:t>delegate authority to the Executive Director of Economy, Environment and Infrastructure, in consultation with the Cabinet Member for Education, Skills and Bus Transport t</w:t>
            </w:r>
            <w:r>
              <w:rPr>
                <w:rFonts w:cs="Arial"/>
                <w:szCs w:val="24"/>
                <w:lang w:eastAsia="en-GB"/>
              </w:rPr>
              <w:t xml:space="preserve">o </w:t>
            </w:r>
            <w:r w:rsidRPr="0027251F">
              <w:rPr>
                <w:rFonts w:cs="Arial"/>
                <w:szCs w:val="24"/>
              </w:rPr>
              <w:t>accept the grant and enter into a funding agreement with the DfE (Department for Education)</w:t>
            </w:r>
            <w:r w:rsidR="00737B4B">
              <w:rPr>
                <w:rFonts w:cs="Arial"/>
                <w:szCs w:val="24"/>
              </w:rPr>
              <w:t xml:space="preserve"> or it will not be possible to enter into the programme within the set timeframe.</w:t>
            </w:r>
          </w:p>
          <w:p w14:paraId="25975592" w14:textId="77777777" w:rsidR="00195BE7" w:rsidRDefault="00195BE7" w:rsidP="00F92F94">
            <w:pPr>
              <w:pStyle w:val="Header"/>
              <w:tabs>
                <w:tab w:val="clear" w:pos="4153"/>
                <w:tab w:val="clear" w:pos="8306"/>
              </w:tabs>
              <w:rPr>
                <w:rFonts w:ascii="Arial" w:hAnsi="Arial" w:cs="Arial"/>
                <w:szCs w:val="24"/>
                <w:lang w:eastAsia="en-GB"/>
              </w:rPr>
            </w:pPr>
          </w:p>
          <w:p w14:paraId="282F7F73" w14:textId="25481AF6" w:rsidR="00D01E98" w:rsidRPr="00F24AF4" w:rsidRDefault="00E16DC1" w:rsidP="00F92F94">
            <w:pPr>
              <w:pStyle w:val="Header"/>
              <w:tabs>
                <w:tab w:val="clear" w:pos="4153"/>
                <w:tab w:val="clear" w:pos="8306"/>
              </w:tabs>
              <w:rPr>
                <w:rFonts w:ascii="Arial" w:hAnsi="Arial" w:cs="Arial"/>
                <w:color w:val="000000"/>
                <w:szCs w:val="24"/>
              </w:rPr>
            </w:pPr>
            <w:r>
              <w:rPr>
                <w:rFonts w:ascii="Arial" w:hAnsi="Arial" w:cs="Arial"/>
                <w:color w:val="000000"/>
                <w:szCs w:val="24"/>
              </w:rPr>
              <w:t>Adult Education in Gloucestershire will manage and deliver the Multiply programme on behalf of Gloucestershire County Council and will engage with local providers via a grant process to reach the full potential of Gloucestershire residents to deliver Maths and Numeracy programmes in accordance with the Investment Plan submitted to the Department for Education (DfE) on 30</w:t>
            </w:r>
            <w:r w:rsidRPr="00E16DC1">
              <w:rPr>
                <w:rFonts w:ascii="Arial" w:hAnsi="Arial" w:cs="Arial"/>
                <w:color w:val="000000"/>
                <w:szCs w:val="24"/>
                <w:vertAlign w:val="superscript"/>
              </w:rPr>
              <w:t>th</w:t>
            </w:r>
            <w:r>
              <w:rPr>
                <w:rFonts w:ascii="Arial" w:hAnsi="Arial" w:cs="Arial"/>
                <w:color w:val="000000"/>
                <w:szCs w:val="24"/>
              </w:rPr>
              <w:t xml:space="preserve"> June 2022.</w:t>
            </w:r>
          </w:p>
          <w:p w14:paraId="4063E2EC" w14:textId="77777777" w:rsidR="00E05BFE" w:rsidRPr="00F24AF4" w:rsidRDefault="00E05BFE" w:rsidP="00F92F94">
            <w:pPr>
              <w:pStyle w:val="Header"/>
              <w:tabs>
                <w:tab w:val="clear" w:pos="4153"/>
                <w:tab w:val="clear" w:pos="8306"/>
              </w:tabs>
              <w:rPr>
                <w:rFonts w:ascii="Arial" w:hAnsi="Arial" w:cs="Arial"/>
                <w:color w:val="000000"/>
                <w:szCs w:val="24"/>
              </w:rPr>
            </w:pPr>
          </w:p>
          <w:p w14:paraId="47CFBA63" w14:textId="4E7690A6" w:rsidR="000625FE" w:rsidRPr="00EF62A9" w:rsidRDefault="009B57C0" w:rsidP="00ED7647">
            <w:pPr>
              <w:pStyle w:val="Header"/>
              <w:tabs>
                <w:tab w:val="clear" w:pos="4153"/>
                <w:tab w:val="clear" w:pos="8306"/>
              </w:tabs>
              <w:rPr>
                <w:rFonts w:ascii="Arial" w:hAnsi="Arial" w:cs="Arial"/>
                <w:szCs w:val="24"/>
              </w:rPr>
            </w:pPr>
            <w:r>
              <w:rPr>
                <w:rFonts w:ascii="Arial" w:hAnsi="Arial" w:cs="Arial"/>
                <w:color w:val="000000"/>
                <w:szCs w:val="24"/>
              </w:rPr>
              <w:t xml:space="preserve">To ensure the successful delivery of the programme </w:t>
            </w:r>
            <w:r w:rsidR="00AB4F91">
              <w:rPr>
                <w:rFonts w:ascii="Arial" w:hAnsi="Arial" w:cs="Arial"/>
                <w:color w:val="000000"/>
                <w:szCs w:val="24"/>
              </w:rPr>
              <w:t>five</w:t>
            </w:r>
            <w:r w:rsidR="009101A7">
              <w:rPr>
                <w:rFonts w:ascii="Arial" w:hAnsi="Arial" w:cs="Arial"/>
                <w:color w:val="000000"/>
                <w:szCs w:val="24"/>
              </w:rPr>
              <w:t xml:space="preserve"> new</w:t>
            </w:r>
            <w:r w:rsidR="008103E5">
              <w:rPr>
                <w:rFonts w:ascii="Arial" w:hAnsi="Arial" w:cs="Arial"/>
                <w:color w:val="000000"/>
                <w:szCs w:val="24"/>
              </w:rPr>
              <w:t xml:space="preserve"> fixed term contract</w:t>
            </w:r>
            <w:r w:rsidR="009101A7">
              <w:rPr>
                <w:rFonts w:ascii="Arial" w:hAnsi="Arial" w:cs="Arial"/>
                <w:color w:val="000000"/>
                <w:szCs w:val="24"/>
              </w:rPr>
              <w:t xml:space="preserve"> members of staff will need to be recruited </w:t>
            </w:r>
            <w:r w:rsidR="00ED7647">
              <w:rPr>
                <w:rFonts w:ascii="Arial" w:hAnsi="Arial" w:cs="Arial"/>
                <w:color w:val="000000"/>
                <w:szCs w:val="24"/>
              </w:rPr>
              <w:t xml:space="preserve">to </w:t>
            </w:r>
            <w:r w:rsidR="009101A7">
              <w:rPr>
                <w:rFonts w:ascii="Arial" w:hAnsi="Arial" w:cs="Arial"/>
                <w:color w:val="000000"/>
                <w:szCs w:val="24"/>
              </w:rPr>
              <w:t xml:space="preserve">project </w:t>
            </w:r>
            <w:r w:rsidR="00ED7647">
              <w:rPr>
                <w:rFonts w:ascii="Arial" w:hAnsi="Arial" w:cs="Arial"/>
                <w:color w:val="000000"/>
                <w:szCs w:val="24"/>
              </w:rPr>
              <w:t>manage the external providers</w:t>
            </w:r>
            <w:r w:rsidR="00AB4F91">
              <w:rPr>
                <w:rFonts w:ascii="Arial" w:hAnsi="Arial" w:cs="Arial"/>
                <w:color w:val="000000"/>
                <w:szCs w:val="24"/>
              </w:rPr>
              <w:t xml:space="preserve">. </w:t>
            </w:r>
            <w:r w:rsidR="00ED7647">
              <w:rPr>
                <w:rFonts w:ascii="Arial" w:hAnsi="Arial" w:cs="Arial"/>
                <w:color w:val="000000"/>
                <w:szCs w:val="24"/>
              </w:rPr>
              <w:t>The funding for this has been included within the investment plan and accepted by the DfE and therefore no cost will fall to the council.</w:t>
            </w:r>
          </w:p>
        </w:tc>
      </w:tr>
      <w:tr w:rsidR="00655DE3" w:rsidRPr="00335902" w14:paraId="3DDA1E14" w14:textId="77777777" w:rsidTr="00EB059C">
        <w:trPr>
          <w:cantSplit/>
        </w:trPr>
        <w:tc>
          <w:tcPr>
            <w:tcW w:w="2493" w:type="dxa"/>
            <w:tcBorders>
              <w:top w:val="single" w:sz="4" w:space="0" w:color="auto"/>
              <w:left w:val="single" w:sz="4" w:space="0" w:color="auto"/>
              <w:bottom w:val="single" w:sz="4" w:space="0" w:color="auto"/>
              <w:right w:val="single" w:sz="4" w:space="0" w:color="auto"/>
            </w:tcBorders>
          </w:tcPr>
          <w:p w14:paraId="12748679" w14:textId="77777777" w:rsidR="00655DE3" w:rsidRPr="00EF62A9" w:rsidRDefault="00655DE3" w:rsidP="00F92F94">
            <w:pPr>
              <w:spacing w:before="120" w:after="120"/>
              <w:rPr>
                <w:rFonts w:cs="Arial"/>
                <w:b/>
                <w:szCs w:val="24"/>
              </w:rPr>
            </w:pPr>
            <w:bookmarkStart w:id="4" w:name="_Hlk103256558"/>
            <w:r w:rsidRPr="00EF62A9">
              <w:rPr>
                <w:rFonts w:cs="Arial"/>
                <w:b/>
                <w:szCs w:val="24"/>
              </w:rPr>
              <w:t>Resource Implications</w:t>
            </w:r>
          </w:p>
        </w:tc>
        <w:tc>
          <w:tcPr>
            <w:tcW w:w="8397" w:type="dxa"/>
            <w:gridSpan w:val="2"/>
            <w:tcBorders>
              <w:top w:val="single" w:sz="4" w:space="0" w:color="auto"/>
              <w:left w:val="single" w:sz="4" w:space="0" w:color="auto"/>
              <w:bottom w:val="single" w:sz="4" w:space="0" w:color="auto"/>
              <w:right w:val="single" w:sz="4" w:space="0" w:color="auto"/>
            </w:tcBorders>
          </w:tcPr>
          <w:p w14:paraId="399049AD" w14:textId="77777777" w:rsidR="000625FE" w:rsidRDefault="000625FE" w:rsidP="00F92F94">
            <w:pPr>
              <w:spacing w:before="120" w:after="120"/>
              <w:rPr>
                <w:rFonts w:cs="Arial"/>
                <w:szCs w:val="24"/>
              </w:rPr>
            </w:pPr>
            <w:bookmarkStart w:id="5" w:name="_Hlk103189482"/>
          </w:p>
          <w:tbl>
            <w:tblPr>
              <w:tblW w:w="8309" w:type="dxa"/>
              <w:tblLayout w:type="fixed"/>
              <w:tblCellMar>
                <w:left w:w="0" w:type="dxa"/>
                <w:right w:w="0" w:type="dxa"/>
              </w:tblCellMar>
              <w:tblLook w:val="04A0" w:firstRow="1" w:lastRow="0" w:firstColumn="1" w:lastColumn="0" w:noHBand="0" w:noVBand="1"/>
            </w:tblPr>
            <w:tblGrid>
              <w:gridCol w:w="8309"/>
            </w:tblGrid>
            <w:tr w:rsidR="000625FE" w:rsidRPr="001E6C29" w14:paraId="2D340F7A" w14:textId="77777777" w:rsidTr="00852113">
              <w:trPr>
                <w:trHeight w:val="969"/>
              </w:trPr>
              <w:tc>
                <w:tcPr>
                  <w:tcW w:w="15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986A350" w14:textId="26308A0F" w:rsidR="000625FE" w:rsidRPr="001E6C29" w:rsidRDefault="000625FE" w:rsidP="000625FE">
                  <w:pPr>
                    <w:jc w:val="both"/>
                    <w:rPr>
                      <w:rFonts w:cs="Arial"/>
                      <w:color w:val="000000"/>
                      <w:szCs w:val="24"/>
                    </w:rPr>
                  </w:pPr>
                  <w:r w:rsidRPr="001E6C29">
                    <w:rPr>
                      <w:rFonts w:cs="Arial"/>
                      <w:color w:val="000000"/>
                      <w:szCs w:val="24"/>
                    </w:rPr>
                    <w:t>Funding Allocation 22-23 (£)</w:t>
                  </w:r>
                  <w:r w:rsidR="00E16DC1">
                    <w:rPr>
                      <w:rFonts w:cs="Arial"/>
                      <w:color w:val="000000"/>
                      <w:szCs w:val="24"/>
                    </w:rPr>
                    <w:t xml:space="preserve"> – YEAR 1 of a 3 Year programme</w:t>
                  </w:r>
                </w:p>
              </w:tc>
            </w:tr>
            <w:tr w:rsidR="000625FE" w:rsidRPr="001E6C29" w14:paraId="3016B1F3" w14:textId="77777777" w:rsidTr="00D910C4">
              <w:trPr>
                <w:trHeight w:val="290"/>
              </w:trPr>
              <w:tc>
                <w:tcPr>
                  <w:tcW w:w="1582" w:type="dxa"/>
                  <w:tcBorders>
                    <w:top w:val="single" w:sz="4" w:space="0" w:color="auto"/>
                    <w:left w:val="single" w:sz="4" w:space="0" w:color="auto"/>
                    <w:bottom w:val="single" w:sz="4" w:space="0" w:color="auto"/>
                    <w:right w:val="single" w:sz="4" w:space="0" w:color="auto"/>
                  </w:tcBorders>
                  <w:shd w:val="clear" w:color="auto" w:fill="92D050"/>
                  <w:noWrap/>
                  <w:tcMar>
                    <w:top w:w="0" w:type="dxa"/>
                    <w:left w:w="108" w:type="dxa"/>
                    <w:bottom w:w="0" w:type="dxa"/>
                    <w:right w:w="108" w:type="dxa"/>
                  </w:tcMar>
                  <w:vAlign w:val="bottom"/>
                  <w:hideMark/>
                </w:tcPr>
                <w:p w14:paraId="414285E0" w14:textId="6D917D38" w:rsidR="000625FE" w:rsidRPr="001E6C29" w:rsidRDefault="00F7429B" w:rsidP="000625FE">
                  <w:pPr>
                    <w:rPr>
                      <w:rFonts w:cs="Arial"/>
                      <w:color w:val="000000"/>
                      <w:szCs w:val="24"/>
                    </w:rPr>
                  </w:pPr>
                  <w:r>
                    <w:rPr>
                      <w:rFonts w:cs="Arial"/>
                      <w:color w:val="000000"/>
                      <w:szCs w:val="24"/>
                    </w:rPr>
                    <w:t>£</w:t>
                  </w:r>
                  <w:r w:rsidR="00735E63">
                    <w:rPr>
                      <w:rFonts w:cs="Arial"/>
                      <w:color w:val="000000"/>
                      <w:szCs w:val="24"/>
                    </w:rPr>
                    <w:t>822,166.00</w:t>
                  </w:r>
                  <w:r w:rsidR="000625FE">
                    <w:rPr>
                      <w:rFonts w:cs="Arial"/>
                      <w:color w:val="000000"/>
                      <w:szCs w:val="24"/>
                    </w:rPr>
                    <w:t xml:space="preserve"> </w:t>
                  </w:r>
                </w:p>
              </w:tc>
            </w:tr>
          </w:tbl>
          <w:p w14:paraId="5853EAD8" w14:textId="144CFE62" w:rsidR="004B371D" w:rsidRDefault="000625FE" w:rsidP="00F92F94">
            <w:pPr>
              <w:spacing w:before="120" w:after="120"/>
              <w:rPr>
                <w:rFonts w:cs="Arial"/>
                <w:szCs w:val="24"/>
              </w:rPr>
            </w:pPr>
            <w:r>
              <w:rPr>
                <w:rFonts w:cs="Arial"/>
                <w:szCs w:val="24"/>
              </w:rPr>
              <w:t>The full Year 1 allocation of £</w:t>
            </w:r>
            <w:r w:rsidR="00735E63">
              <w:rPr>
                <w:rFonts w:cs="Arial"/>
                <w:szCs w:val="24"/>
              </w:rPr>
              <w:t>822,166.00</w:t>
            </w:r>
            <w:r>
              <w:rPr>
                <w:rFonts w:cs="Arial"/>
                <w:szCs w:val="24"/>
              </w:rPr>
              <w:t xml:space="preserve"> has </w:t>
            </w:r>
            <w:r w:rsidR="005661F5">
              <w:rPr>
                <w:rFonts w:cs="Arial"/>
                <w:szCs w:val="24"/>
              </w:rPr>
              <w:t xml:space="preserve">provisionally </w:t>
            </w:r>
            <w:r>
              <w:rPr>
                <w:rFonts w:cs="Arial"/>
                <w:szCs w:val="24"/>
              </w:rPr>
              <w:t xml:space="preserve">been confirmed by the DfE </w:t>
            </w:r>
            <w:r w:rsidR="00603FCC">
              <w:rPr>
                <w:rFonts w:cs="Arial"/>
                <w:szCs w:val="24"/>
              </w:rPr>
              <w:t xml:space="preserve">via email to allow us to progress necessary approvals and the formal grant offer letter with </w:t>
            </w:r>
            <w:r w:rsidR="005661F5">
              <w:rPr>
                <w:rFonts w:cs="Arial"/>
                <w:szCs w:val="24"/>
              </w:rPr>
              <w:t xml:space="preserve">any stipulations </w:t>
            </w:r>
            <w:r w:rsidR="00603FCC">
              <w:rPr>
                <w:rFonts w:cs="Arial"/>
                <w:szCs w:val="24"/>
              </w:rPr>
              <w:t xml:space="preserve">will be sent in the next week. </w:t>
            </w:r>
          </w:p>
          <w:p w14:paraId="14D13DAB" w14:textId="505F24AD" w:rsidR="00655DE3" w:rsidRDefault="00655DE3" w:rsidP="00F92F94">
            <w:pPr>
              <w:spacing w:before="120" w:after="120"/>
              <w:rPr>
                <w:rFonts w:cs="Arial"/>
                <w:szCs w:val="24"/>
              </w:rPr>
            </w:pPr>
            <w:r w:rsidRPr="001E6C29">
              <w:rPr>
                <w:rFonts w:cs="Arial"/>
                <w:szCs w:val="24"/>
              </w:rPr>
              <w:t xml:space="preserve">Funding provided through </w:t>
            </w:r>
            <w:r w:rsidR="003F71DF">
              <w:rPr>
                <w:rFonts w:cs="Arial"/>
                <w:szCs w:val="24"/>
              </w:rPr>
              <w:t xml:space="preserve">the </w:t>
            </w:r>
            <w:r>
              <w:rPr>
                <w:rFonts w:cs="Arial"/>
                <w:szCs w:val="24"/>
              </w:rPr>
              <w:t>M</w:t>
            </w:r>
            <w:r w:rsidRPr="001E6C29">
              <w:rPr>
                <w:rFonts w:cs="Arial"/>
                <w:szCs w:val="24"/>
              </w:rPr>
              <w:t>ultiply</w:t>
            </w:r>
            <w:r>
              <w:rPr>
                <w:rFonts w:cs="Arial"/>
                <w:szCs w:val="24"/>
              </w:rPr>
              <w:t xml:space="preserve"> programme</w:t>
            </w:r>
            <w:r w:rsidRPr="001E6C29">
              <w:rPr>
                <w:rFonts w:cs="Arial"/>
                <w:szCs w:val="24"/>
              </w:rPr>
              <w:t xml:space="preserve"> is in addition to existing funding streams available for adults to improve maths and numeracy skills, including through the Adult Education Budget in England</w:t>
            </w:r>
            <w:r w:rsidR="009A76FF" w:rsidRPr="001E6C29">
              <w:rPr>
                <w:rFonts w:cs="Arial"/>
                <w:szCs w:val="24"/>
              </w:rPr>
              <w:t>.</w:t>
            </w:r>
            <w:r w:rsidR="009A76FF">
              <w:rPr>
                <w:rFonts w:cs="Arial"/>
                <w:szCs w:val="24"/>
              </w:rPr>
              <w:t xml:space="preserve"> </w:t>
            </w:r>
          </w:p>
          <w:p w14:paraId="6D0EF057" w14:textId="0A43137F" w:rsidR="00EA0968" w:rsidRDefault="00EA0968" w:rsidP="00F92F94">
            <w:pPr>
              <w:spacing w:before="120" w:after="120"/>
              <w:rPr>
                <w:rFonts w:cs="Arial"/>
                <w:szCs w:val="24"/>
              </w:rPr>
            </w:pPr>
            <w:r>
              <w:rPr>
                <w:rFonts w:cs="Arial"/>
                <w:szCs w:val="24"/>
              </w:rPr>
              <w:t>(Provisional allocation for year 2 is £927,668.00 and year 3 is £950,901.00</w:t>
            </w:r>
            <w:r w:rsidR="009A4683">
              <w:rPr>
                <w:rFonts w:cs="Arial"/>
                <w:szCs w:val="24"/>
              </w:rPr>
              <w:t xml:space="preserve"> a total of £2,700,735 over the 3-year contract period</w:t>
            </w:r>
            <w:r w:rsidR="00AB4F91">
              <w:rPr>
                <w:rFonts w:cs="Arial"/>
                <w:szCs w:val="24"/>
              </w:rPr>
              <w:t xml:space="preserve">. </w:t>
            </w:r>
            <w:r w:rsidR="009A4683">
              <w:rPr>
                <w:rFonts w:cs="Arial"/>
                <w:szCs w:val="24"/>
              </w:rPr>
              <w:t>This will be confirmed as per the timeline on page 5</w:t>
            </w:r>
            <w:r w:rsidR="00C34DB6">
              <w:rPr>
                <w:rFonts w:cs="Arial"/>
                <w:szCs w:val="24"/>
              </w:rPr>
              <w:t xml:space="preserve"> following annual performance reviews by the DfE</w:t>
            </w:r>
            <w:r w:rsidR="009A4683">
              <w:rPr>
                <w:rFonts w:cs="Arial"/>
                <w:szCs w:val="24"/>
              </w:rPr>
              <w:t>)</w:t>
            </w:r>
          </w:p>
          <w:bookmarkEnd w:id="5"/>
          <w:p w14:paraId="00FB257F" w14:textId="3DA9B319" w:rsidR="001A64FC" w:rsidRPr="00EF62A9" w:rsidRDefault="001A64FC" w:rsidP="004B371D">
            <w:pPr>
              <w:spacing w:before="120" w:after="120"/>
              <w:contextualSpacing/>
              <w:rPr>
                <w:rFonts w:cs="Arial"/>
                <w:szCs w:val="24"/>
              </w:rPr>
            </w:pPr>
          </w:p>
        </w:tc>
      </w:tr>
      <w:bookmarkEnd w:id="4"/>
      <w:tr w:rsidR="00655DE3" w:rsidRPr="00335902" w14:paraId="47BF8C25" w14:textId="77777777" w:rsidTr="00EB059C">
        <w:trPr>
          <w:cantSplit/>
        </w:trPr>
        <w:tc>
          <w:tcPr>
            <w:tcW w:w="2493" w:type="dxa"/>
            <w:tcBorders>
              <w:top w:val="single" w:sz="4" w:space="0" w:color="auto"/>
              <w:left w:val="single" w:sz="4" w:space="0" w:color="auto"/>
              <w:bottom w:val="single" w:sz="4" w:space="0" w:color="auto"/>
              <w:right w:val="single" w:sz="4" w:space="0" w:color="auto"/>
            </w:tcBorders>
          </w:tcPr>
          <w:p w14:paraId="73C0ADCB" w14:textId="77777777" w:rsidR="00655DE3" w:rsidRPr="00E903D3" w:rsidRDefault="00655DE3" w:rsidP="00F92F94">
            <w:pPr>
              <w:pStyle w:val="Heading1"/>
              <w:spacing w:before="120" w:after="120"/>
              <w:rPr>
                <w:rFonts w:cs="Arial"/>
                <w:szCs w:val="24"/>
              </w:rPr>
            </w:pPr>
            <w:r w:rsidRPr="00EF62A9">
              <w:rPr>
                <w:rFonts w:cs="Arial"/>
                <w:szCs w:val="24"/>
              </w:rPr>
              <w:lastRenderedPageBreak/>
              <w:t>Background Documents</w:t>
            </w:r>
          </w:p>
        </w:tc>
        <w:tc>
          <w:tcPr>
            <w:tcW w:w="8397" w:type="dxa"/>
            <w:gridSpan w:val="2"/>
            <w:tcBorders>
              <w:top w:val="single" w:sz="4" w:space="0" w:color="auto"/>
              <w:left w:val="single" w:sz="4" w:space="0" w:color="auto"/>
              <w:bottom w:val="single" w:sz="4" w:space="0" w:color="auto"/>
              <w:right w:val="single" w:sz="4" w:space="0" w:color="auto"/>
            </w:tcBorders>
          </w:tcPr>
          <w:p w14:paraId="26B15436" w14:textId="24A4F0C9" w:rsidR="00535C1F" w:rsidRDefault="00535C1F" w:rsidP="004573DA">
            <w:r>
              <w:t>Cabinet Member Decision (</w:t>
            </w:r>
            <w:r w:rsidR="000E35CB">
              <w:t xml:space="preserve">22/06/2022): </w:t>
            </w:r>
            <w:hyperlink r:id="rId9" w:history="1">
              <w:r w:rsidR="000E35CB" w:rsidRPr="000E35CB">
                <w:rPr>
                  <w:rStyle w:val="Hyperlink"/>
                </w:rPr>
                <w:t>Gloucestershire County Council’s submission to the Multiply Programme element of the UK Shared Prosperity Fund</w:t>
              </w:r>
            </w:hyperlink>
          </w:p>
          <w:p w14:paraId="275ADAD3" w14:textId="77777777" w:rsidR="00B33B27" w:rsidRDefault="00B33B27" w:rsidP="004573DA"/>
          <w:p w14:paraId="2D188F7B" w14:textId="52D406FD" w:rsidR="000E35CB" w:rsidRDefault="00B33B27" w:rsidP="004573DA">
            <w:r>
              <w:t>Multiply In</w:t>
            </w:r>
            <w:r w:rsidR="000E35CB">
              <w:t xml:space="preserve">vestment Plan </w:t>
            </w:r>
            <w:r>
              <w:t>accepted by the DfE on 22</w:t>
            </w:r>
            <w:r w:rsidRPr="00B33B27">
              <w:rPr>
                <w:vertAlign w:val="superscript"/>
              </w:rPr>
              <w:t>nd</w:t>
            </w:r>
            <w:r>
              <w:t xml:space="preserve"> August 2022</w:t>
            </w:r>
          </w:p>
          <w:p w14:paraId="2B1CF7F8" w14:textId="3EF541BD" w:rsidR="00B33B27" w:rsidRDefault="00FB450E" w:rsidP="004573DA">
            <w:r>
              <w:t xml:space="preserve">Appendix </w:t>
            </w:r>
            <w:r w:rsidR="009A4683">
              <w:t>1</w:t>
            </w:r>
          </w:p>
          <w:p w14:paraId="0B73A284" w14:textId="77777777" w:rsidR="00B33B27" w:rsidRDefault="00B33B27" w:rsidP="004573DA"/>
          <w:p w14:paraId="41D849D2" w14:textId="3E4FD43E" w:rsidR="00655DE3" w:rsidRPr="004573DA" w:rsidRDefault="00CB4694" w:rsidP="004573DA">
            <w:pPr>
              <w:rPr>
                <w:rFonts w:eastAsiaTheme="minorHAnsi" w:cs="Arial"/>
                <w:szCs w:val="24"/>
              </w:rPr>
            </w:pPr>
            <w:r>
              <w:t xml:space="preserve">Multiply Investment Prospectus </w:t>
            </w:r>
            <w:hyperlink r:id="rId10" w:history="1">
              <w:r w:rsidRPr="004573DA">
                <w:rPr>
                  <w:rStyle w:val="Hyperlink"/>
                  <w:rFonts w:eastAsiaTheme="minorHAnsi" w:cs="Arial"/>
                  <w:szCs w:val="24"/>
                </w:rPr>
                <w:t>https://assets.publishing.service.gov.uk/government/uploads/system/uploads/attachment_data/file/1068822/Multiply_Investment_Prospectus.pdf</w:t>
              </w:r>
            </w:hyperlink>
          </w:p>
          <w:p w14:paraId="2194C78C" w14:textId="77777777" w:rsidR="00655DE3" w:rsidRPr="00335902" w:rsidRDefault="00655DE3" w:rsidP="00F92F94">
            <w:pPr>
              <w:rPr>
                <w:rFonts w:eastAsiaTheme="minorHAnsi" w:cs="Arial"/>
                <w:szCs w:val="24"/>
              </w:rPr>
            </w:pPr>
          </w:p>
          <w:p w14:paraId="535A7A7A" w14:textId="61E7C6F3" w:rsidR="00CB4694" w:rsidRPr="00335902" w:rsidRDefault="00CB4694" w:rsidP="00F92F94">
            <w:pPr>
              <w:rPr>
                <w:rFonts w:eastAsiaTheme="minorHAnsi" w:cs="Arial"/>
                <w:szCs w:val="24"/>
              </w:rPr>
            </w:pPr>
            <w:r>
              <w:t xml:space="preserve">Multiply Technical Guidance </w:t>
            </w:r>
            <w:hyperlink r:id="rId11" w:history="1">
              <w:r w:rsidRPr="005E4AB4">
                <w:rPr>
                  <w:rStyle w:val="Hyperlink"/>
                  <w:rFonts w:eastAsiaTheme="minorHAnsi" w:cs="Arial"/>
                  <w:szCs w:val="24"/>
                </w:rPr>
                <w:t>https://assets.publishing.service.gov.uk/government/uploads/system/uploads/attachment_data/file/1068823/Multiply_Technical_Guidance.pdf</w:t>
              </w:r>
            </w:hyperlink>
          </w:p>
          <w:p w14:paraId="23748282" w14:textId="463413D2" w:rsidR="00655DE3" w:rsidRPr="008E54BD" w:rsidRDefault="00655DE3" w:rsidP="008E54BD">
            <w:pPr>
              <w:rPr>
                <w:rFonts w:cs="Arial"/>
                <w:szCs w:val="24"/>
              </w:rPr>
            </w:pPr>
          </w:p>
        </w:tc>
      </w:tr>
      <w:tr w:rsidR="00655DE3" w:rsidRPr="00335902" w14:paraId="7DBDB263" w14:textId="77777777" w:rsidTr="00EB059C">
        <w:trPr>
          <w:cantSplit/>
        </w:trPr>
        <w:tc>
          <w:tcPr>
            <w:tcW w:w="2493" w:type="dxa"/>
            <w:tcBorders>
              <w:top w:val="single" w:sz="4" w:space="0" w:color="auto"/>
              <w:left w:val="single" w:sz="4" w:space="0" w:color="auto"/>
              <w:bottom w:val="single" w:sz="4" w:space="0" w:color="auto"/>
              <w:right w:val="single" w:sz="4" w:space="0" w:color="auto"/>
            </w:tcBorders>
          </w:tcPr>
          <w:p w14:paraId="1A7035E5" w14:textId="77777777" w:rsidR="00655DE3" w:rsidRPr="00EF62A9" w:rsidRDefault="00655DE3" w:rsidP="00F92F94">
            <w:pPr>
              <w:spacing w:before="120" w:after="120"/>
              <w:rPr>
                <w:rFonts w:cs="Arial"/>
                <w:b/>
                <w:szCs w:val="24"/>
              </w:rPr>
            </w:pPr>
            <w:r w:rsidRPr="00EF62A9">
              <w:rPr>
                <w:rFonts w:cs="Arial"/>
                <w:b/>
                <w:szCs w:val="24"/>
              </w:rPr>
              <w:t>Statutory Authority</w:t>
            </w:r>
          </w:p>
        </w:tc>
        <w:tc>
          <w:tcPr>
            <w:tcW w:w="8397" w:type="dxa"/>
            <w:gridSpan w:val="2"/>
            <w:tcBorders>
              <w:top w:val="single" w:sz="4" w:space="0" w:color="auto"/>
              <w:left w:val="single" w:sz="4" w:space="0" w:color="auto"/>
              <w:bottom w:val="single" w:sz="4" w:space="0" w:color="auto"/>
              <w:right w:val="single" w:sz="4" w:space="0" w:color="auto"/>
            </w:tcBorders>
          </w:tcPr>
          <w:p w14:paraId="5DD04C7C" w14:textId="77777777" w:rsidR="00655DE3" w:rsidRPr="004E3438" w:rsidRDefault="00655DE3" w:rsidP="00F92F94">
            <w:pPr>
              <w:pStyle w:val="ListParagraph"/>
              <w:numPr>
                <w:ilvl w:val="0"/>
                <w:numId w:val="2"/>
              </w:numPr>
              <w:spacing w:before="120" w:after="120"/>
              <w:rPr>
                <w:rFonts w:cs="Arial"/>
                <w:szCs w:val="28"/>
              </w:rPr>
            </w:pPr>
            <w:r w:rsidRPr="001E6C29">
              <w:rPr>
                <w:rFonts w:ascii="Arial" w:hAnsi="Arial" w:cs="Arial"/>
                <w:sz w:val="24"/>
                <w:szCs w:val="28"/>
              </w:rPr>
              <w:t xml:space="preserve">Education and Skills Act 2008 </w:t>
            </w:r>
          </w:p>
          <w:p w14:paraId="1B131707" w14:textId="77777777" w:rsidR="00655DE3" w:rsidRPr="001E6C29" w:rsidRDefault="00655DE3" w:rsidP="00F92F94">
            <w:pPr>
              <w:pStyle w:val="ListParagraph"/>
              <w:numPr>
                <w:ilvl w:val="0"/>
                <w:numId w:val="2"/>
              </w:numPr>
              <w:spacing w:before="120" w:after="120"/>
              <w:rPr>
                <w:rFonts w:cs="Arial"/>
                <w:szCs w:val="24"/>
              </w:rPr>
            </w:pPr>
            <w:r w:rsidRPr="001E6C29">
              <w:rPr>
                <w:rFonts w:ascii="Arial" w:hAnsi="Arial" w:cs="Arial"/>
                <w:sz w:val="24"/>
                <w:szCs w:val="28"/>
              </w:rPr>
              <w:t>Skills and Post-16 Education Act 2022 (currently at white paper stage of government sign off)</w:t>
            </w:r>
          </w:p>
          <w:p w14:paraId="46672330" w14:textId="77777777" w:rsidR="00655DE3" w:rsidRPr="0019748A" w:rsidRDefault="00655DE3" w:rsidP="00F92F94">
            <w:pPr>
              <w:pStyle w:val="ListParagraph"/>
              <w:numPr>
                <w:ilvl w:val="0"/>
                <w:numId w:val="2"/>
              </w:numPr>
              <w:spacing w:before="120" w:after="120"/>
              <w:rPr>
                <w:rFonts w:cs="Arial"/>
                <w:szCs w:val="24"/>
              </w:rPr>
            </w:pPr>
            <w:r>
              <w:rPr>
                <w:rFonts w:ascii="Arial" w:hAnsi="Arial" w:cs="Arial"/>
                <w:sz w:val="24"/>
                <w:szCs w:val="28"/>
              </w:rPr>
              <w:t xml:space="preserve">Levelling Up White Paper – UKSPF – Multiply programme is part of this </w:t>
            </w:r>
            <w:r w:rsidRPr="001E6C29">
              <w:rPr>
                <w:rFonts w:ascii="Arial" w:hAnsi="Arial" w:cs="Arial"/>
                <w:sz w:val="24"/>
                <w:szCs w:val="24"/>
              </w:rPr>
              <w:t>(investment of £3.8bn in skills planned by 2024-25 and a Lifetime Skills Guarantee in England, enabling 11m adults to gain an A Level or equivalent qualification for free, as well as a new UK-wide adult numeracy programme and skills bootcamps)</w:t>
            </w:r>
          </w:p>
        </w:tc>
      </w:tr>
      <w:tr w:rsidR="00655DE3" w:rsidRPr="00335902" w14:paraId="4401D3D1" w14:textId="77777777" w:rsidTr="00EB059C">
        <w:trPr>
          <w:cantSplit/>
        </w:trPr>
        <w:tc>
          <w:tcPr>
            <w:tcW w:w="2493" w:type="dxa"/>
            <w:tcBorders>
              <w:top w:val="single" w:sz="4" w:space="0" w:color="auto"/>
              <w:left w:val="single" w:sz="4" w:space="0" w:color="auto"/>
              <w:bottom w:val="single" w:sz="4" w:space="0" w:color="auto"/>
              <w:right w:val="single" w:sz="4" w:space="0" w:color="auto"/>
            </w:tcBorders>
          </w:tcPr>
          <w:p w14:paraId="71718AE1" w14:textId="77777777" w:rsidR="00655DE3" w:rsidRPr="00EF62A9" w:rsidRDefault="00655DE3" w:rsidP="00F92F94">
            <w:pPr>
              <w:spacing w:before="120" w:after="120"/>
              <w:rPr>
                <w:rFonts w:cs="Arial"/>
                <w:b/>
                <w:szCs w:val="24"/>
              </w:rPr>
            </w:pPr>
            <w:r w:rsidRPr="00EF62A9">
              <w:rPr>
                <w:rFonts w:cs="Arial"/>
                <w:b/>
                <w:szCs w:val="24"/>
              </w:rPr>
              <w:t>Divisional Councillor(s)</w:t>
            </w:r>
          </w:p>
        </w:tc>
        <w:tc>
          <w:tcPr>
            <w:tcW w:w="8397" w:type="dxa"/>
            <w:gridSpan w:val="2"/>
            <w:tcBorders>
              <w:top w:val="single" w:sz="4" w:space="0" w:color="auto"/>
              <w:left w:val="single" w:sz="4" w:space="0" w:color="auto"/>
              <w:bottom w:val="single" w:sz="4" w:space="0" w:color="auto"/>
              <w:right w:val="single" w:sz="4" w:space="0" w:color="auto"/>
            </w:tcBorders>
          </w:tcPr>
          <w:p w14:paraId="2BE9D0F3" w14:textId="77777777" w:rsidR="00655DE3" w:rsidRPr="0019748A" w:rsidRDefault="00655DE3" w:rsidP="00F92F94">
            <w:pPr>
              <w:spacing w:before="120" w:after="120"/>
              <w:rPr>
                <w:rFonts w:cs="Arial"/>
                <w:szCs w:val="24"/>
              </w:rPr>
            </w:pPr>
            <w:r w:rsidRPr="00E903D3">
              <w:rPr>
                <w:rFonts w:cs="Arial"/>
                <w:szCs w:val="24"/>
              </w:rPr>
              <w:t>All</w:t>
            </w:r>
          </w:p>
        </w:tc>
      </w:tr>
      <w:tr w:rsidR="00655DE3" w:rsidRPr="00335902" w14:paraId="4B4F856C" w14:textId="77777777" w:rsidTr="00EB059C">
        <w:trPr>
          <w:cantSplit/>
        </w:trPr>
        <w:tc>
          <w:tcPr>
            <w:tcW w:w="2493" w:type="dxa"/>
            <w:tcBorders>
              <w:top w:val="single" w:sz="4" w:space="0" w:color="auto"/>
              <w:left w:val="single" w:sz="4" w:space="0" w:color="auto"/>
              <w:bottom w:val="single" w:sz="4" w:space="0" w:color="auto"/>
              <w:right w:val="single" w:sz="4" w:space="0" w:color="auto"/>
            </w:tcBorders>
          </w:tcPr>
          <w:p w14:paraId="1527D517" w14:textId="77777777" w:rsidR="00655DE3" w:rsidRPr="00EF62A9" w:rsidRDefault="00655DE3" w:rsidP="00F92F94">
            <w:pPr>
              <w:spacing w:before="120" w:after="120"/>
              <w:rPr>
                <w:rFonts w:cs="Arial"/>
                <w:b/>
                <w:szCs w:val="24"/>
              </w:rPr>
            </w:pPr>
            <w:r w:rsidRPr="00EF62A9">
              <w:rPr>
                <w:rFonts w:cs="Arial"/>
                <w:b/>
                <w:szCs w:val="24"/>
              </w:rPr>
              <w:t>Officer</w:t>
            </w:r>
          </w:p>
        </w:tc>
        <w:tc>
          <w:tcPr>
            <w:tcW w:w="8397" w:type="dxa"/>
            <w:gridSpan w:val="2"/>
            <w:tcBorders>
              <w:top w:val="single" w:sz="4" w:space="0" w:color="auto"/>
              <w:left w:val="single" w:sz="4" w:space="0" w:color="auto"/>
              <w:bottom w:val="single" w:sz="4" w:space="0" w:color="auto"/>
              <w:right w:val="single" w:sz="4" w:space="0" w:color="auto"/>
            </w:tcBorders>
          </w:tcPr>
          <w:p w14:paraId="47768F60" w14:textId="4F11DA00" w:rsidR="00655DE3" w:rsidRPr="004E3438" w:rsidRDefault="00655DE3" w:rsidP="00F92F94">
            <w:pPr>
              <w:ind w:left="170" w:right="57"/>
              <w:rPr>
                <w:rFonts w:cs="Arial"/>
                <w:szCs w:val="24"/>
              </w:rPr>
            </w:pPr>
            <w:r w:rsidRPr="004E3438">
              <w:rPr>
                <w:rFonts w:cs="Arial"/>
                <w:szCs w:val="24"/>
              </w:rPr>
              <w:t>Name: Sarah Carne</w:t>
            </w:r>
            <w:r w:rsidR="00C50B06">
              <w:rPr>
                <w:rFonts w:cs="Arial"/>
                <w:szCs w:val="24"/>
              </w:rPr>
              <w:t>, Head of Adult Education</w:t>
            </w:r>
          </w:p>
          <w:p w14:paraId="2A672FB7" w14:textId="77777777" w:rsidR="00655DE3" w:rsidRPr="001E6C29" w:rsidRDefault="00655DE3" w:rsidP="00F92F94">
            <w:pPr>
              <w:ind w:left="170" w:right="57"/>
              <w:rPr>
                <w:rFonts w:cs="Arial"/>
                <w:szCs w:val="24"/>
              </w:rPr>
            </w:pPr>
            <w:r w:rsidRPr="001E6C29">
              <w:rPr>
                <w:rFonts w:cs="Arial"/>
                <w:szCs w:val="24"/>
              </w:rPr>
              <w:t>Telephone:  07425 635492</w:t>
            </w:r>
          </w:p>
          <w:p w14:paraId="3D24E41A" w14:textId="13C84992" w:rsidR="00655DE3" w:rsidRPr="001E6C29" w:rsidRDefault="00655DE3" w:rsidP="009A4683">
            <w:pPr>
              <w:ind w:left="170" w:right="57"/>
              <w:rPr>
                <w:rFonts w:cs="Arial"/>
                <w:szCs w:val="24"/>
              </w:rPr>
            </w:pPr>
            <w:r w:rsidRPr="001E6C29">
              <w:rPr>
                <w:rFonts w:cs="Arial"/>
                <w:szCs w:val="24"/>
              </w:rPr>
              <w:t xml:space="preserve">Email: </w:t>
            </w:r>
            <w:hyperlink r:id="rId12" w:history="1">
              <w:r w:rsidRPr="0075743F">
                <w:rPr>
                  <w:rStyle w:val="Hyperlink"/>
                  <w:rFonts w:cs="Arial"/>
                  <w:szCs w:val="24"/>
                </w:rPr>
                <w:t>sarah.carne@gloucestershire.gov.uk</w:t>
              </w:r>
            </w:hyperlink>
          </w:p>
        </w:tc>
      </w:tr>
      <w:tr w:rsidR="00655DE3" w:rsidRPr="00335902" w14:paraId="05981689" w14:textId="77777777" w:rsidTr="00C03C80">
        <w:trPr>
          <w:trHeight w:val="260"/>
        </w:trPr>
        <w:tc>
          <w:tcPr>
            <w:tcW w:w="2493" w:type="dxa"/>
            <w:tcBorders>
              <w:top w:val="single" w:sz="4" w:space="0" w:color="auto"/>
              <w:left w:val="single" w:sz="4" w:space="0" w:color="auto"/>
              <w:bottom w:val="single" w:sz="4" w:space="0" w:color="auto"/>
              <w:right w:val="single" w:sz="4" w:space="0" w:color="auto"/>
            </w:tcBorders>
          </w:tcPr>
          <w:p w14:paraId="44BE611E" w14:textId="77777777" w:rsidR="00655DE3" w:rsidRPr="00EF62A9" w:rsidRDefault="00655DE3" w:rsidP="00F92F94">
            <w:pPr>
              <w:spacing w:before="120" w:after="120"/>
              <w:rPr>
                <w:rFonts w:cs="Arial"/>
                <w:b/>
                <w:szCs w:val="24"/>
              </w:rPr>
            </w:pPr>
            <w:r w:rsidRPr="00EF62A9">
              <w:rPr>
                <w:rFonts w:cs="Arial"/>
                <w:b/>
                <w:szCs w:val="24"/>
              </w:rPr>
              <w:t>Timeline</w:t>
            </w:r>
          </w:p>
        </w:tc>
        <w:tc>
          <w:tcPr>
            <w:tcW w:w="8397" w:type="dxa"/>
            <w:gridSpan w:val="2"/>
            <w:tcBorders>
              <w:top w:val="single" w:sz="4" w:space="0" w:color="auto"/>
              <w:left w:val="single" w:sz="4" w:space="0" w:color="auto"/>
              <w:bottom w:val="single" w:sz="4" w:space="0" w:color="auto"/>
              <w:right w:val="single" w:sz="4" w:space="0" w:color="auto"/>
            </w:tcBorders>
          </w:tcPr>
          <w:p w14:paraId="69D20B43" w14:textId="7219E9C9" w:rsidR="00DF605F" w:rsidRDefault="00DF605F" w:rsidP="00A7612E">
            <w:pPr>
              <w:pStyle w:val="ListParagraph"/>
              <w:numPr>
                <w:ilvl w:val="0"/>
                <w:numId w:val="2"/>
              </w:numPr>
              <w:spacing w:before="120" w:after="120"/>
              <w:rPr>
                <w:rFonts w:ascii="Arial" w:hAnsi="Arial" w:cs="Arial"/>
                <w:sz w:val="24"/>
                <w:szCs w:val="24"/>
              </w:rPr>
            </w:pPr>
            <w:r>
              <w:rPr>
                <w:rFonts w:ascii="Arial" w:hAnsi="Arial" w:cs="Arial"/>
                <w:sz w:val="24"/>
                <w:szCs w:val="24"/>
              </w:rPr>
              <w:t>Investment Plan and costing spreadsheet submitted to the DfE by the national deadline (30</w:t>
            </w:r>
            <w:r w:rsidRPr="00DF605F">
              <w:rPr>
                <w:rFonts w:ascii="Arial" w:hAnsi="Arial" w:cs="Arial"/>
                <w:sz w:val="24"/>
                <w:szCs w:val="24"/>
                <w:vertAlign w:val="superscript"/>
              </w:rPr>
              <w:t>th</w:t>
            </w:r>
            <w:r>
              <w:rPr>
                <w:rFonts w:ascii="Arial" w:hAnsi="Arial" w:cs="Arial"/>
                <w:sz w:val="24"/>
                <w:szCs w:val="24"/>
              </w:rPr>
              <w:t xml:space="preserve"> June 2022)</w:t>
            </w:r>
          </w:p>
          <w:p w14:paraId="672AA7D2" w14:textId="1AAFB857" w:rsidR="00DF605F" w:rsidRDefault="00DF605F" w:rsidP="00A7612E">
            <w:pPr>
              <w:pStyle w:val="ListParagraph"/>
              <w:numPr>
                <w:ilvl w:val="0"/>
                <w:numId w:val="2"/>
              </w:numPr>
              <w:spacing w:before="120" w:after="120"/>
              <w:rPr>
                <w:rFonts w:ascii="Arial" w:hAnsi="Arial" w:cs="Arial"/>
                <w:sz w:val="24"/>
                <w:szCs w:val="24"/>
              </w:rPr>
            </w:pPr>
            <w:r>
              <w:rPr>
                <w:rFonts w:ascii="Arial" w:hAnsi="Arial" w:cs="Arial"/>
                <w:sz w:val="24"/>
                <w:szCs w:val="24"/>
              </w:rPr>
              <w:t>22</w:t>
            </w:r>
            <w:r w:rsidRPr="00DF605F">
              <w:rPr>
                <w:rFonts w:ascii="Arial" w:hAnsi="Arial" w:cs="Arial"/>
                <w:sz w:val="24"/>
                <w:szCs w:val="24"/>
                <w:vertAlign w:val="superscript"/>
              </w:rPr>
              <w:t>nd</w:t>
            </w:r>
            <w:r>
              <w:rPr>
                <w:rFonts w:ascii="Arial" w:hAnsi="Arial" w:cs="Arial"/>
                <w:sz w:val="24"/>
                <w:szCs w:val="24"/>
              </w:rPr>
              <w:t xml:space="preserve"> August 2022 – Official grant offer for Year 1 received from the DfE.</w:t>
            </w:r>
          </w:p>
          <w:p w14:paraId="4992D23D" w14:textId="1A395F6C" w:rsidR="00CA2973" w:rsidRDefault="00DF605F" w:rsidP="00A7612E">
            <w:pPr>
              <w:pStyle w:val="ListParagraph"/>
              <w:numPr>
                <w:ilvl w:val="0"/>
                <w:numId w:val="2"/>
              </w:numPr>
              <w:spacing w:before="120" w:after="120"/>
              <w:rPr>
                <w:rFonts w:ascii="Arial" w:hAnsi="Arial" w:cs="Arial"/>
                <w:sz w:val="24"/>
                <w:szCs w:val="24"/>
              </w:rPr>
            </w:pPr>
            <w:r>
              <w:rPr>
                <w:rFonts w:ascii="Arial" w:hAnsi="Arial" w:cs="Arial"/>
                <w:sz w:val="24"/>
                <w:szCs w:val="24"/>
              </w:rPr>
              <w:t>August</w:t>
            </w:r>
            <w:r w:rsidR="00CA2973" w:rsidRPr="00A7612E">
              <w:rPr>
                <w:rFonts w:ascii="Arial" w:hAnsi="Arial" w:cs="Arial"/>
                <w:sz w:val="24"/>
                <w:szCs w:val="24"/>
              </w:rPr>
              <w:t xml:space="preserve"> Approval of Investment Plan </w:t>
            </w:r>
            <w:r>
              <w:rPr>
                <w:rFonts w:ascii="Arial" w:hAnsi="Arial" w:cs="Arial"/>
                <w:sz w:val="24"/>
                <w:szCs w:val="24"/>
              </w:rPr>
              <w:t xml:space="preserve">confirmed by </w:t>
            </w:r>
            <w:r w:rsidR="00AB4F91">
              <w:rPr>
                <w:rFonts w:ascii="Arial" w:hAnsi="Arial" w:cs="Arial"/>
                <w:sz w:val="24"/>
                <w:szCs w:val="24"/>
              </w:rPr>
              <w:t>DfE,</w:t>
            </w:r>
            <w:r>
              <w:rPr>
                <w:rFonts w:ascii="Arial" w:hAnsi="Arial" w:cs="Arial"/>
                <w:sz w:val="24"/>
                <w:szCs w:val="24"/>
              </w:rPr>
              <w:t xml:space="preserve"> and formal offer uploaded onto ESFA payments system (MYESF) for approval.</w:t>
            </w:r>
          </w:p>
          <w:p w14:paraId="006F9717" w14:textId="6EB30BD9" w:rsidR="00DF605F" w:rsidRPr="00A7612E" w:rsidRDefault="00DF605F" w:rsidP="00A7612E">
            <w:pPr>
              <w:pStyle w:val="ListParagraph"/>
              <w:numPr>
                <w:ilvl w:val="0"/>
                <w:numId w:val="2"/>
              </w:numPr>
              <w:spacing w:before="120" w:after="120"/>
              <w:rPr>
                <w:rFonts w:ascii="Arial" w:hAnsi="Arial" w:cs="Arial"/>
                <w:sz w:val="24"/>
                <w:szCs w:val="24"/>
              </w:rPr>
            </w:pPr>
            <w:r>
              <w:rPr>
                <w:rFonts w:ascii="Arial" w:hAnsi="Arial" w:cs="Arial"/>
                <w:sz w:val="24"/>
                <w:szCs w:val="24"/>
              </w:rPr>
              <w:t>2</w:t>
            </w:r>
            <w:r w:rsidRPr="00DF605F">
              <w:rPr>
                <w:rFonts w:ascii="Arial" w:hAnsi="Arial" w:cs="Arial"/>
                <w:sz w:val="24"/>
                <w:szCs w:val="24"/>
                <w:vertAlign w:val="superscript"/>
              </w:rPr>
              <w:t>nd</w:t>
            </w:r>
            <w:r>
              <w:rPr>
                <w:rFonts w:ascii="Arial" w:hAnsi="Arial" w:cs="Arial"/>
                <w:sz w:val="24"/>
                <w:szCs w:val="24"/>
              </w:rPr>
              <w:t xml:space="preserve"> September 10pm – offer must be accepted on ESFA payment system (MYEESF) by the </w:t>
            </w:r>
            <w:r w:rsidRPr="00DF605F">
              <w:rPr>
                <w:rFonts w:ascii="Arial" w:hAnsi="Arial" w:cs="Arial"/>
                <w:sz w:val="24"/>
                <w:szCs w:val="24"/>
              </w:rPr>
              <w:t>Executive Director of Economy, Environment and Infrastructure</w:t>
            </w:r>
          </w:p>
          <w:p w14:paraId="102B35DA" w14:textId="2CB574DC" w:rsidR="00CA2973" w:rsidRPr="00A7612E" w:rsidRDefault="00CA2973" w:rsidP="00A7612E">
            <w:pPr>
              <w:pStyle w:val="ListParagraph"/>
              <w:numPr>
                <w:ilvl w:val="0"/>
                <w:numId w:val="2"/>
              </w:numPr>
              <w:spacing w:before="120" w:after="120"/>
              <w:rPr>
                <w:rFonts w:ascii="Arial" w:hAnsi="Arial" w:cs="Arial"/>
                <w:sz w:val="24"/>
                <w:szCs w:val="24"/>
              </w:rPr>
            </w:pPr>
            <w:r w:rsidRPr="00A7612E">
              <w:rPr>
                <w:rFonts w:ascii="Arial" w:hAnsi="Arial" w:cs="Arial"/>
                <w:sz w:val="24"/>
                <w:szCs w:val="24"/>
              </w:rPr>
              <w:t>September 2022 The DfE issues payment for 2022-23 financial year</w:t>
            </w:r>
            <w:r w:rsidR="00DF605F">
              <w:rPr>
                <w:rFonts w:ascii="Arial" w:hAnsi="Arial" w:cs="Arial"/>
                <w:sz w:val="24"/>
                <w:szCs w:val="24"/>
              </w:rPr>
              <w:t>.</w:t>
            </w:r>
          </w:p>
          <w:p w14:paraId="25DD0217" w14:textId="77777777" w:rsidR="00CA2973" w:rsidRPr="00A7612E" w:rsidRDefault="00CA2973" w:rsidP="00A7612E">
            <w:pPr>
              <w:pStyle w:val="ListParagraph"/>
              <w:numPr>
                <w:ilvl w:val="0"/>
                <w:numId w:val="2"/>
              </w:numPr>
              <w:spacing w:before="120" w:after="120"/>
              <w:rPr>
                <w:rFonts w:ascii="Arial" w:hAnsi="Arial" w:cs="Arial"/>
                <w:sz w:val="24"/>
                <w:szCs w:val="24"/>
              </w:rPr>
            </w:pPr>
            <w:r w:rsidRPr="00A7612E">
              <w:rPr>
                <w:rFonts w:ascii="Arial" w:hAnsi="Arial" w:cs="Arial"/>
                <w:sz w:val="24"/>
                <w:szCs w:val="24"/>
              </w:rPr>
              <w:t xml:space="preserve">End January 2022 Authorities submit updated Investment Plans, if required, and confirm outputs and outcomes for 2023–24 financial year. </w:t>
            </w:r>
          </w:p>
          <w:p w14:paraId="3C9C311B" w14:textId="77777777" w:rsidR="00CA2973" w:rsidRPr="00A7612E" w:rsidRDefault="00CA2973" w:rsidP="00A7612E">
            <w:pPr>
              <w:pStyle w:val="ListParagraph"/>
              <w:numPr>
                <w:ilvl w:val="0"/>
                <w:numId w:val="2"/>
              </w:numPr>
              <w:spacing w:before="120" w:after="120"/>
              <w:rPr>
                <w:rFonts w:ascii="Arial" w:hAnsi="Arial" w:cs="Arial"/>
                <w:sz w:val="24"/>
                <w:szCs w:val="24"/>
              </w:rPr>
            </w:pPr>
            <w:r w:rsidRPr="00A7612E">
              <w:rPr>
                <w:rFonts w:ascii="Arial" w:hAnsi="Arial" w:cs="Arial"/>
                <w:sz w:val="24"/>
                <w:szCs w:val="24"/>
              </w:rPr>
              <w:t xml:space="preserve">March 2023 Authorities provide indicative underspends for 2022–23 financial year </w:t>
            </w:r>
          </w:p>
          <w:p w14:paraId="27F86C31" w14:textId="1F39E951" w:rsidR="00CA2973" w:rsidRPr="00A7612E" w:rsidRDefault="00CA2973" w:rsidP="00A7612E">
            <w:pPr>
              <w:pStyle w:val="ListParagraph"/>
              <w:numPr>
                <w:ilvl w:val="0"/>
                <w:numId w:val="2"/>
              </w:numPr>
              <w:spacing w:before="120" w:after="120"/>
              <w:rPr>
                <w:rFonts w:ascii="Arial" w:hAnsi="Arial" w:cs="Arial"/>
                <w:sz w:val="24"/>
                <w:szCs w:val="24"/>
              </w:rPr>
            </w:pPr>
            <w:r w:rsidRPr="00A7612E">
              <w:rPr>
                <w:rFonts w:ascii="Arial" w:hAnsi="Arial" w:cs="Arial"/>
                <w:sz w:val="24"/>
                <w:szCs w:val="24"/>
              </w:rPr>
              <w:t xml:space="preserve">March 2023 Grant Determination issued for 2023–24 financial year April 2023 </w:t>
            </w:r>
            <w:proofErr w:type="gramStart"/>
            <w:r w:rsidRPr="00A7612E">
              <w:rPr>
                <w:rFonts w:ascii="Arial" w:hAnsi="Arial" w:cs="Arial"/>
                <w:sz w:val="24"/>
                <w:szCs w:val="24"/>
              </w:rPr>
              <w:t>The</w:t>
            </w:r>
            <w:proofErr w:type="gramEnd"/>
            <w:r w:rsidRPr="00A7612E">
              <w:rPr>
                <w:rFonts w:ascii="Arial" w:hAnsi="Arial" w:cs="Arial"/>
                <w:sz w:val="24"/>
                <w:szCs w:val="24"/>
              </w:rPr>
              <w:t xml:space="preserve"> DfE issues first payment for 2023–24 financial year.</w:t>
            </w:r>
          </w:p>
          <w:p w14:paraId="557BB33D" w14:textId="7E4F740D" w:rsidR="00A7612E" w:rsidRPr="00F24AF4" w:rsidRDefault="00A7612E" w:rsidP="00A7612E">
            <w:pPr>
              <w:pStyle w:val="CommentText"/>
              <w:ind w:left="720"/>
              <w:rPr>
                <w:rFonts w:cs="Arial"/>
                <w:szCs w:val="24"/>
              </w:rPr>
            </w:pPr>
          </w:p>
        </w:tc>
      </w:tr>
    </w:tbl>
    <w:p w14:paraId="36A54469" w14:textId="77777777" w:rsidR="00655DE3" w:rsidRPr="00EF62A9" w:rsidRDefault="00655DE3" w:rsidP="00655DE3">
      <w:pPr>
        <w:pStyle w:val="Header"/>
        <w:tabs>
          <w:tab w:val="clear" w:pos="4153"/>
          <w:tab w:val="clear" w:pos="8306"/>
        </w:tabs>
        <w:rPr>
          <w:rFonts w:ascii="Arial" w:hAnsi="Arial" w:cs="Arial"/>
          <w:szCs w:val="24"/>
        </w:rPr>
        <w:sectPr w:rsidR="00655DE3" w:rsidRPr="00EF62A9" w:rsidSect="003F71DF">
          <w:pgSz w:w="11906" w:h="16838" w:code="9"/>
          <w:pgMar w:top="1440" w:right="1152" w:bottom="1134" w:left="1440" w:header="706" w:footer="706" w:gutter="0"/>
          <w:cols w:space="720"/>
        </w:sectPr>
      </w:pPr>
    </w:p>
    <w:p w14:paraId="7D3E4449" w14:textId="77777777" w:rsidR="00655DE3" w:rsidRPr="0075743F" w:rsidRDefault="00655DE3" w:rsidP="00655DE3">
      <w:pPr>
        <w:pStyle w:val="Header"/>
        <w:tabs>
          <w:tab w:val="clear" w:pos="4153"/>
          <w:tab w:val="clear" w:pos="8306"/>
        </w:tabs>
        <w:ind w:left="-720"/>
        <w:rPr>
          <w:rFonts w:ascii="Arial" w:hAnsi="Arial" w:cs="Arial"/>
          <w:bCs/>
          <w:szCs w:val="24"/>
        </w:rPr>
      </w:pPr>
      <w:r w:rsidRPr="001E6C29">
        <w:rPr>
          <w:rFonts w:ascii="Arial" w:hAnsi="Arial" w:cs="Arial"/>
          <w:b/>
          <w:szCs w:val="24"/>
        </w:rPr>
        <w:lastRenderedPageBreak/>
        <w:t>Background</w:t>
      </w:r>
      <w:r w:rsidRPr="00EF62A9">
        <w:rPr>
          <w:rFonts w:ascii="Arial" w:hAnsi="Arial" w:cs="Arial"/>
          <w:b/>
          <w:szCs w:val="24"/>
        </w:rPr>
        <w:t xml:space="preserve"> </w:t>
      </w:r>
    </w:p>
    <w:p w14:paraId="58CEA40C" w14:textId="77777777" w:rsidR="00655DE3" w:rsidRPr="000A0784" w:rsidRDefault="00655DE3" w:rsidP="00655DE3">
      <w:pPr>
        <w:autoSpaceDE w:val="0"/>
        <w:autoSpaceDN w:val="0"/>
        <w:adjustRightInd w:val="0"/>
        <w:ind w:left="-709"/>
        <w:rPr>
          <w:rFonts w:cs="Arial"/>
          <w:b/>
          <w:bCs/>
          <w:szCs w:val="24"/>
          <w:lang w:eastAsia="en-GB"/>
        </w:rPr>
      </w:pPr>
    </w:p>
    <w:p w14:paraId="0A784032" w14:textId="55EA4BAB" w:rsidR="00655DE3" w:rsidRPr="00A7612E" w:rsidRDefault="00655DE3" w:rsidP="00655DE3">
      <w:pPr>
        <w:pStyle w:val="ListParagraph"/>
        <w:numPr>
          <w:ilvl w:val="0"/>
          <w:numId w:val="3"/>
        </w:numPr>
        <w:autoSpaceDE w:val="0"/>
        <w:autoSpaceDN w:val="0"/>
        <w:adjustRightInd w:val="0"/>
        <w:rPr>
          <w:rFonts w:ascii="Arial" w:hAnsi="Arial" w:cs="Arial"/>
          <w:b/>
          <w:bCs/>
          <w:sz w:val="24"/>
          <w:szCs w:val="24"/>
        </w:rPr>
      </w:pPr>
      <w:r w:rsidRPr="000A0784">
        <w:rPr>
          <w:rFonts w:ascii="Arial" w:hAnsi="Arial" w:cs="Arial"/>
          <w:sz w:val="24"/>
          <w:szCs w:val="24"/>
        </w:rPr>
        <w:t>The Multiply programme aims to increase adult numeracy across the population</w:t>
      </w:r>
      <w:r w:rsidR="009A76FF" w:rsidRPr="000A0784">
        <w:rPr>
          <w:rFonts w:ascii="Arial" w:hAnsi="Arial" w:cs="Arial"/>
          <w:sz w:val="24"/>
          <w:szCs w:val="24"/>
        </w:rPr>
        <w:t xml:space="preserve">. </w:t>
      </w:r>
      <w:r w:rsidRPr="000A0784">
        <w:rPr>
          <w:rFonts w:ascii="Arial" w:hAnsi="Arial" w:cs="Arial"/>
          <w:sz w:val="24"/>
          <w:szCs w:val="24"/>
        </w:rPr>
        <w:t>It is a new government-funded programme to help adults across the UK to improve their numeracy skills and boost their number confidence. The government wants to help people unlock new job opportunities or progress in work, get higher wages, improve their wellbeing, and take the next step to higher levels of training. Boosting numeracy abilities can also help with everyday tasks like bills and budgeting or helping children with homework.</w:t>
      </w:r>
    </w:p>
    <w:p w14:paraId="15394C49" w14:textId="00E76774" w:rsidR="00A7612E" w:rsidRDefault="00A7612E" w:rsidP="00A7612E">
      <w:pPr>
        <w:autoSpaceDE w:val="0"/>
        <w:autoSpaceDN w:val="0"/>
        <w:adjustRightInd w:val="0"/>
        <w:rPr>
          <w:rFonts w:cs="Arial"/>
          <w:b/>
          <w:bCs/>
          <w:szCs w:val="24"/>
        </w:rPr>
      </w:pPr>
    </w:p>
    <w:p w14:paraId="6BD6FA0D" w14:textId="67E328AA" w:rsidR="00A7612E" w:rsidRDefault="00D82C8E" w:rsidP="00C40F46">
      <w:pPr>
        <w:pStyle w:val="ListParagraph"/>
        <w:numPr>
          <w:ilvl w:val="0"/>
          <w:numId w:val="3"/>
        </w:numPr>
        <w:autoSpaceDE w:val="0"/>
        <w:autoSpaceDN w:val="0"/>
        <w:adjustRightInd w:val="0"/>
        <w:rPr>
          <w:rFonts w:ascii="Arial" w:hAnsi="Arial" w:cs="Arial"/>
          <w:sz w:val="24"/>
          <w:szCs w:val="24"/>
        </w:rPr>
      </w:pPr>
      <w:r w:rsidRPr="00D82C8E">
        <w:rPr>
          <w:rFonts w:ascii="Arial" w:hAnsi="Arial" w:cs="Arial"/>
          <w:sz w:val="24"/>
          <w:szCs w:val="24"/>
        </w:rPr>
        <w:t>C</w:t>
      </w:r>
      <w:r w:rsidR="00A7612E" w:rsidRPr="00D82C8E">
        <w:rPr>
          <w:rFonts w:ascii="Arial" w:hAnsi="Arial" w:cs="Arial"/>
          <w:sz w:val="24"/>
          <w:szCs w:val="24"/>
        </w:rPr>
        <w:t>onsultations have taken place between April and June with local training providers, VCS groups, local district UKSPF fund</w:t>
      </w:r>
      <w:r w:rsidRPr="00D82C8E">
        <w:rPr>
          <w:rFonts w:ascii="Arial" w:hAnsi="Arial" w:cs="Arial"/>
          <w:sz w:val="24"/>
          <w:szCs w:val="24"/>
        </w:rPr>
        <w:t xml:space="preserve">ing </w:t>
      </w:r>
      <w:r w:rsidR="00A7612E" w:rsidRPr="00D82C8E">
        <w:rPr>
          <w:rFonts w:ascii="Arial" w:hAnsi="Arial" w:cs="Arial"/>
          <w:sz w:val="24"/>
          <w:szCs w:val="24"/>
        </w:rPr>
        <w:t xml:space="preserve">leads, community </w:t>
      </w:r>
      <w:r w:rsidRPr="00D82C8E">
        <w:rPr>
          <w:rFonts w:ascii="Arial" w:hAnsi="Arial" w:cs="Arial"/>
          <w:sz w:val="24"/>
          <w:szCs w:val="24"/>
        </w:rPr>
        <w:t>organisations</w:t>
      </w:r>
      <w:r w:rsidR="00A7612E" w:rsidRPr="00D82C8E">
        <w:rPr>
          <w:rFonts w:ascii="Arial" w:hAnsi="Arial" w:cs="Arial"/>
          <w:sz w:val="24"/>
          <w:szCs w:val="24"/>
        </w:rPr>
        <w:t xml:space="preserve">, key departments within Gloucestershire County </w:t>
      </w:r>
      <w:r w:rsidRPr="00D82C8E">
        <w:rPr>
          <w:rFonts w:ascii="Arial" w:hAnsi="Arial" w:cs="Arial"/>
          <w:sz w:val="24"/>
          <w:szCs w:val="24"/>
        </w:rPr>
        <w:t>Council</w:t>
      </w:r>
      <w:r w:rsidR="00A7612E" w:rsidRPr="00D82C8E">
        <w:rPr>
          <w:rFonts w:ascii="Arial" w:hAnsi="Arial" w:cs="Arial"/>
          <w:sz w:val="24"/>
          <w:szCs w:val="24"/>
        </w:rPr>
        <w:t xml:space="preserve"> and local </w:t>
      </w:r>
      <w:r w:rsidRPr="00D82C8E">
        <w:rPr>
          <w:rFonts w:ascii="Arial" w:hAnsi="Arial" w:cs="Arial"/>
          <w:sz w:val="24"/>
          <w:szCs w:val="24"/>
        </w:rPr>
        <w:t>employer</w:t>
      </w:r>
      <w:r>
        <w:rPr>
          <w:rFonts w:ascii="Arial" w:hAnsi="Arial" w:cs="Arial"/>
          <w:sz w:val="24"/>
          <w:szCs w:val="24"/>
        </w:rPr>
        <w:t xml:space="preserve"> </w:t>
      </w:r>
      <w:r w:rsidRPr="00D82C8E">
        <w:rPr>
          <w:rFonts w:ascii="Arial" w:hAnsi="Arial" w:cs="Arial"/>
          <w:sz w:val="24"/>
          <w:szCs w:val="24"/>
        </w:rPr>
        <w:t>networks to establish a need for Multiply and to build the offer that was detailed within the investment plan</w:t>
      </w:r>
      <w:r>
        <w:rPr>
          <w:rFonts w:ascii="Arial" w:hAnsi="Arial" w:cs="Arial"/>
          <w:sz w:val="24"/>
          <w:szCs w:val="24"/>
        </w:rPr>
        <w:t>.</w:t>
      </w:r>
    </w:p>
    <w:p w14:paraId="4B88719A" w14:textId="77777777" w:rsidR="00D82C8E" w:rsidRPr="00D82C8E" w:rsidRDefault="00D82C8E" w:rsidP="00D82C8E">
      <w:pPr>
        <w:pStyle w:val="ListParagraph"/>
        <w:rPr>
          <w:rFonts w:ascii="Arial" w:hAnsi="Arial" w:cs="Arial"/>
          <w:sz w:val="24"/>
          <w:szCs w:val="24"/>
        </w:rPr>
      </w:pPr>
    </w:p>
    <w:p w14:paraId="7A94E065" w14:textId="28584446" w:rsidR="00816CFF" w:rsidRDefault="0045503D" w:rsidP="00816CFF">
      <w:pPr>
        <w:pStyle w:val="ListParagraph"/>
        <w:numPr>
          <w:ilvl w:val="0"/>
          <w:numId w:val="3"/>
        </w:numPr>
        <w:autoSpaceDE w:val="0"/>
        <w:autoSpaceDN w:val="0"/>
        <w:adjustRightInd w:val="0"/>
        <w:rPr>
          <w:rFonts w:ascii="Arial" w:hAnsi="Arial" w:cs="Arial"/>
          <w:sz w:val="24"/>
          <w:szCs w:val="24"/>
        </w:rPr>
      </w:pPr>
      <w:r>
        <w:rPr>
          <w:rFonts w:ascii="Arial" w:hAnsi="Arial" w:cs="Arial"/>
          <w:sz w:val="24"/>
          <w:szCs w:val="24"/>
        </w:rPr>
        <w:t xml:space="preserve">Multiply information was </w:t>
      </w:r>
      <w:r w:rsidR="00D82C8E">
        <w:rPr>
          <w:rFonts w:ascii="Arial" w:hAnsi="Arial" w:cs="Arial"/>
          <w:sz w:val="24"/>
          <w:szCs w:val="24"/>
        </w:rPr>
        <w:t xml:space="preserve">widely </w:t>
      </w:r>
      <w:r>
        <w:rPr>
          <w:rFonts w:ascii="Arial" w:hAnsi="Arial" w:cs="Arial"/>
          <w:sz w:val="24"/>
          <w:szCs w:val="24"/>
        </w:rPr>
        <w:t xml:space="preserve">distributed </w:t>
      </w:r>
      <w:r w:rsidR="00D82C8E">
        <w:rPr>
          <w:rFonts w:ascii="Arial" w:hAnsi="Arial" w:cs="Arial"/>
          <w:sz w:val="24"/>
          <w:szCs w:val="24"/>
        </w:rPr>
        <w:t>across the county</w:t>
      </w:r>
      <w:r>
        <w:rPr>
          <w:rFonts w:ascii="Arial" w:hAnsi="Arial" w:cs="Arial"/>
          <w:sz w:val="24"/>
          <w:szCs w:val="24"/>
        </w:rPr>
        <w:t xml:space="preserve">. </w:t>
      </w:r>
      <w:r w:rsidR="00D82C8E">
        <w:rPr>
          <w:rFonts w:ascii="Arial" w:hAnsi="Arial" w:cs="Arial"/>
          <w:sz w:val="24"/>
          <w:szCs w:val="24"/>
        </w:rPr>
        <w:t xml:space="preserve">Expressions of Interest were </w:t>
      </w:r>
      <w:r>
        <w:rPr>
          <w:rFonts w:ascii="Arial" w:hAnsi="Arial" w:cs="Arial"/>
          <w:sz w:val="24"/>
          <w:szCs w:val="24"/>
        </w:rPr>
        <w:t xml:space="preserve">then </w:t>
      </w:r>
      <w:r w:rsidR="00D82C8E">
        <w:rPr>
          <w:rFonts w:ascii="Arial" w:hAnsi="Arial" w:cs="Arial"/>
          <w:sz w:val="24"/>
          <w:szCs w:val="24"/>
        </w:rPr>
        <w:t xml:space="preserve">submitted to the Multiply </w:t>
      </w:r>
      <w:r>
        <w:rPr>
          <w:rFonts w:ascii="Arial" w:hAnsi="Arial" w:cs="Arial"/>
          <w:sz w:val="24"/>
          <w:szCs w:val="24"/>
        </w:rPr>
        <w:t>l</w:t>
      </w:r>
      <w:r w:rsidR="00D82C8E">
        <w:rPr>
          <w:rFonts w:ascii="Arial" w:hAnsi="Arial" w:cs="Arial"/>
          <w:sz w:val="24"/>
          <w:szCs w:val="24"/>
        </w:rPr>
        <w:t xml:space="preserve">ead by a wide variety of local organisations including other training providers, </w:t>
      </w:r>
      <w:r>
        <w:rPr>
          <w:rFonts w:ascii="Arial" w:hAnsi="Arial" w:cs="Arial"/>
          <w:sz w:val="24"/>
          <w:szCs w:val="24"/>
        </w:rPr>
        <w:t>members of the voluntary and community sector, housing associations, citizens advice bureau, national numeracy organisations and key stakeholders across the county including the DWP and local charities</w:t>
      </w:r>
      <w:r w:rsidR="009A76FF">
        <w:rPr>
          <w:rFonts w:ascii="Arial" w:hAnsi="Arial" w:cs="Arial"/>
          <w:sz w:val="24"/>
          <w:szCs w:val="24"/>
        </w:rPr>
        <w:t xml:space="preserve">. </w:t>
      </w:r>
      <w:r>
        <w:rPr>
          <w:rFonts w:ascii="Arial" w:hAnsi="Arial" w:cs="Arial"/>
          <w:sz w:val="24"/>
          <w:szCs w:val="24"/>
        </w:rPr>
        <w:t>These expressions of interest, together with the Adult Education in Gloucestershire offer were used to form the investment plan.</w:t>
      </w:r>
    </w:p>
    <w:p w14:paraId="5D40075F" w14:textId="11274B61" w:rsidR="00816CFF" w:rsidRDefault="00816CFF" w:rsidP="00816CFF">
      <w:pPr>
        <w:pStyle w:val="ListParagraph"/>
        <w:numPr>
          <w:ilvl w:val="0"/>
          <w:numId w:val="3"/>
        </w:numPr>
        <w:autoSpaceDE w:val="0"/>
        <w:autoSpaceDN w:val="0"/>
        <w:adjustRightInd w:val="0"/>
        <w:spacing w:before="240"/>
        <w:rPr>
          <w:rFonts w:ascii="Arial" w:hAnsi="Arial" w:cs="Arial"/>
          <w:sz w:val="24"/>
          <w:szCs w:val="24"/>
        </w:rPr>
      </w:pPr>
      <w:r>
        <w:rPr>
          <w:rFonts w:ascii="Arial" w:hAnsi="Arial" w:cs="Arial"/>
          <w:sz w:val="24"/>
          <w:szCs w:val="24"/>
        </w:rPr>
        <w:t>An investment plan (Appendix 1) was submitted to the DfE on 30</w:t>
      </w:r>
      <w:r w:rsidRPr="00816CFF">
        <w:rPr>
          <w:rFonts w:ascii="Arial" w:hAnsi="Arial" w:cs="Arial"/>
          <w:sz w:val="24"/>
          <w:szCs w:val="24"/>
          <w:vertAlign w:val="superscript"/>
        </w:rPr>
        <w:t>th</w:t>
      </w:r>
      <w:r>
        <w:rPr>
          <w:rFonts w:ascii="Arial" w:hAnsi="Arial" w:cs="Arial"/>
          <w:sz w:val="24"/>
          <w:szCs w:val="24"/>
        </w:rPr>
        <w:t xml:space="preserve"> June, initial acceptance of these documents was issued on 18</w:t>
      </w:r>
      <w:r w:rsidRPr="00816CFF">
        <w:rPr>
          <w:rFonts w:ascii="Arial" w:hAnsi="Arial" w:cs="Arial"/>
          <w:sz w:val="24"/>
          <w:szCs w:val="24"/>
          <w:vertAlign w:val="superscript"/>
        </w:rPr>
        <w:t>th</w:t>
      </w:r>
      <w:r>
        <w:rPr>
          <w:rFonts w:ascii="Arial" w:hAnsi="Arial" w:cs="Arial"/>
          <w:sz w:val="24"/>
          <w:szCs w:val="24"/>
        </w:rPr>
        <w:t xml:space="preserve"> August and an official offer was made on 22</w:t>
      </w:r>
      <w:r w:rsidRPr="00816CFF">
        <w:rPr>
          <w:rFonts w:ascii="Arial" w:hAnsi="Arial" w:cs="Arial"/>
          <w:sz w:val="24"/>
          <w:szCs w:val="24"/>
          <w:vertAlign w:val="superscript"/>
        </w:rPr>
        <w:t>nd</w:t>
      </w:r>
      <w:r>
        <w:rPr>
          <w:rFonts w:ascii="Arial" w:hAnsi="Arial" w:cs="Arial"/>
          <w:sz w:val="24"/>
          <w:szCs w:val="24"/>
        </w:rPr>
        <w:t xml:space="preserve"> August 2022</w:t>
      </w:r>
      <w:r w:rsidR="00C34DB6">
        <w:rPr>
          <w:rFonts w:ascii="Arial" w:hAnsi="Arial" w:cs="Arial"/>
          <w:sz w:val="24"/>
          <w:szCs w:val="24"/>
        </w:rPr>
        <w:t xml:space="preserve">. </w:t>
      </w:r>
      <w:r>
        <w:rPr>
          <w:rFonts w:ascii="Arial" w:hAnsi="Arial" w:cs="Arial"/>
          <w:sz w:val="24"/>
          <w:szCs w:val="24"/>
        </w:rPr>
        <w:t xml:space="preserve">The investment plan details the </w:t>
      </w:r>
      <w:r w:rsidR="007420FA">
        <w:rPr>
          <w:rFonts w:ascii="Arial" w:hAnsi="Arial" w:cs="Arial"/>
          <w:sz w:val="24"/>
          <w:szCs w:val="24"/>
        </w:rPr>
        <w:t>proposed</w:t>
      </w:r>
      <w:r>
        <w:rPr>
          <w:rFonts w:ascii="Arial" w:hAnsi="Arial" w:cs="Arial"/>
          <w:sz w:val="24"/>
          <w:szCs w:val="24"/>
        </w:rPr>
        <w:t xml:space="preserve"> activities that will be delivered across the county </w:t>
      </w:r>
      <w:r w:rsidR="007420FA">
        <w:rPr>
          <w:rFonts w:ascii="Arial" w:hAnsi="Arial" w:cs="Arial"/>
          <w:sz w:val="24"/>
          <w:szCs w:val="24"/>
        </w:rPr>
        <w:t xml:space="preserve">by </w:t>
      </w:r>
      <w:r>
        <w:rPr>
          <w:rFonts w:ascii="Arial" w:hAnsi="Arial" w:cs="Arial"/>
          <w:sz w:val="24"/>
          <w:szCs w:val="24"/>
        </w:rPr>
        <w:t xml:space="preserve">Adult Education in Gloucestershire </w:t>
      </w:r>
      <w:r w:rsidR="007420FA">
        <w:rPr>
          <w:rFonts w:ascii="Arial" w:hAnsi="Arial" w:cs="Arial"/>
          <w:sz w:val="24"/>
          <w:szCs w:val="24"/>
        </w:rPr>
        <w:t>in collaboration with key stakeholders such as the DWP, local VCS organisations, training providers and local employers</w:t>
      </w:r>
      <w:r w:rsidR="00AB4F91">
        <w:rPr>
          <w:rFonts w:ascii="Arial" w:hAnsi="Arial" w:cs="Arial"/>
          <w:sz w:val="24"/>
          <w:szCs w:val="24"/>
        </w:rPr>
        <w:t xml:space="preserve">. </w:t>
      </w:r>
      <w:r w:rsidR="007420FA">
        <w:rPr>
          <w:rFonts w:ascii="Arial" w:hAnsi="Arial" w:cs="Arial"/>
          <w:sz w:val="24"/>
          <w:szCs w:val="24"/>
        </w:rPr>
        <w:t xml:space="preserve">The multiply programme will deliver a wide variety of </w:t>
      </w:r>
      <w:r w:rsidR="00274F2B">
        <w:rPr>
          <w:rFonts w:ascii="Arial" w:hAnsi="Arial" w:cs="Arial"/>
          <w:sz w:val="24"/>
          <w:szCs w:val="24"/>
        </w:rPr>
        <w:t>numeracy-based</w:t>
      </w:r>
      <w:r w:rsidR="007420FA">
        <w:rPr>
          <w:rFonts w:ascii="Arial" w:hAnsi="Arial" w:cs="Arial"/>
          <w:sz w:val="24"/>
          <w:szCs w:val="24"/>
        </w:rPr>
        <w:t xml:space="preserve"> programmes </w:t>
      </w:r>
      <w:r w:rsidR="00274F2B">
        <w:rPr>
          <w:rFonts w:ascii="Arial" w:hAnsi="Arial" w:cs="Arial"/>
          <w:sz w:val="24"/>
          <w:szCs w:val="24"/>
        </w:rPr>
        <w:t>including but not exclusively: -</w:t>
      </w:r>
    </w:p>
    <w:p w14:paraId="054C0E55" w14:textId="3DF27341" w:rsidR="007420FA" w:rsidRDefault="007420FA" w:rsidP="007420FA">
      <w:pPr>
        <w:pStyle w:val="ListParagraph"/>
        <w:numPr>
          <w:ilvl w:val="1"/>
          <w:numId w:val="3"/>
        </w:numPr>
        <w:autoSpaceDE w:val="0"/>
        <w:autoSpaceDN w:val="0"/>
        <w:adjustRightInd w:val="0"/>
        <w:spacing w:before="240"/>
        <w:rPr>
          <w:rFonts w:ascii="Arial" w:hAnsi="Arial" w:cs="Arial"/>
          <w:sz w:val="24"/>
          <w:szCs w:val="24"/>
        </w:rPr>
      </w:pPr>
      <w:r>
        <w:rPr>
          <w:rFonts w:ascii="Arial" w:hAnsi="Arial" w:cs="Arial"/>
          <w:sz w:val="24"/>
          <w:szCs w:val="24"/>
        </w:rPr>
        <w:t>Cost of living courses such as money management, DIY/family meal planning/gardening on a budget, debt management and many more courses aimed at helping people through the cost-of-living crisis.</w:t>
      </w:r>
    </w:p>
    <w:p w14:paraId="6A975D17" w14:textId="44707F68" w:rsidR="007420FA" w:rsidRDefault="007420FA" w:rsidP="007420FA">
      <w:pPr>
        <w:pStyle w:val="ListParagraph"/>
        <w:numPr>
          <w:ilvl w:val="1"/>
          <w:numId w:val="3"/>
        </w:numPr>
        <w:autoSpaceDE w:val="0"/>
        <w:autoSpaceDN w:val="0"/>
        <w:adjustRightInd w:val="0"/>
        <w:spacing w:before="240"/>
        <w:rPr>
          <w:rFonts w:ascii="Arial" w:hAnsi="Arial" w:cs="Arial"/>
          <w:sz w:val="24"/>
          <w:szCs w:val="24"/>
        </w:rPr>
      </w:pPr>
      <w:r>
        <w:rPr>
          <w:rFonts w:ascii="Arial" w:hAnsi="Arial" w:cs="Arial"/>
          <w:sz w:val="24"/>
          <w:szCs w:val="24"/>
        </w:rPr>
        <w:t xml:space="preserve">Employer based/specific job related “improve your maths” courses within work environments and “on-the-job” to help people improve their job </w:t>
      </w:r>
      <w:r w:rsidR="00274F2B">
        <w:rPr>
          <w:rFonts w:ascii="Arial" w:hAnsi="Arial" w:cs="Arial"/>
          <w:sz w:val="24"/>
          <w:szCs w:val="24"/>
        </w:rPr>
        <w:t xml:space="preserve">progression/development </w:t>
      </w:r>
      <w:r>
        <w:rPr>
          <w:rFonts w:ascii="Arial" w:hAnsi="Arial" w:cs="Arial"/>
          <w:sz w:val="24"/>
          <w:szCs w:val="24"/>
        </w:rPr>
        <w:t>prospects</w:t>
      </w:r>
      <w:r w:rsidR="00274F2B">
        <w:rPr>
          <w:rFonts w:ascii="Arial" w:hAnsi="Arial" w:cs="Arial"/>
          <w:sz w:val="24"/>
          <w:szCs w:val="24"/>
        </w:rPr>
        <w:t>.</w:t>
      </w:r>
    </w:p>
    <w:p w14:paraId="2AD47FE4" w14:textId="1A30BEE8" w:rsidR="00274F2B" w:rsidRDefault="00274F2B" w:rsidP="007420FA">
      <w:pPr>
        <w:pStyle w:val="ListParagraph"/>
        <w:numPr>
          <w:ilvl w:val="1"/>
          <w:numId w:val="3"/>
        </w:numPr>
        <w:autoSpaceDE w:val="0"/>
        <w:autoSpaceDN w:val="0"/>
        <w:adjustRightInd w:val="0"/>
        <w:spacing w:before="240"/>
        <w:rPr>
          <w:rFonts w:ascii="Arial" w:hAnsi="Arial" w:cs="Arial"/>
          <w:sz w:val="24"/>
          <w:szCs w:val="24"/>
        </w:rPr>
      </w:pPr>
      <w:r>
        <w:rPr>
          <w:rFonts w:ascii="Arial" w:hAnsi="Arial" w:cs="Arial"/>
          <w:sz w:val="24"/>
          <w:szCs w:val="24"/>
        </w:rPr>
        <w:t>community based engagement activities supporting people directly within their own communities via organisations already working in specific areas to build stronger communities via numeracy-based engagement activities and courses</w:t>
      </w:r>
      <w:r w:rsidR="00AB4F91">
        <w:rPr>
          <w:rFonts w:ascii="Arial" w:hAnsi="Arial" w:cs="Arial"/>
          <w:sz w:val="24"/>
          <w:szCs w:val="24"/>
        </w:rPr>
        <w:t xml:space="preserve">. </w:t>
      </w:r>
      <w:r w:rsidR="002B0132">
        <w:rPr>
          <w:rFonts w:ascii="Arial" w:hAnsi="Arial" w:cs="Arial"/>
          <w:sz w:val="24"/>
          <w:szCs w:val="24"/>
        </w:rPr>
        <w:t>This will include such organisations as church groups, community action groups, established charities, schools/colleges and specific groups set up to help vulnerable cohorts of people.</w:t>
      </w:r>
    </w:p>
    <w:p w14:paraId="31CDFC55" w14:textId="3F9214B2" w:rsidR="00274F2B" w:rsidRDefault="00274F2B" w:rsidP="007420FA">
      <w:pPr>
        <w:pStyle w:val="ListParagraph"/>
        <w:numPr>
          <w:ilvl w:val="1"/>
          <w:numId w:val="3"/>
        </w:numPr>
        <w:autoSpaceDE w:val="0"/>
        <w:autoSpaceDN w:val="0"/>
        <w:adjustRightInd w:val="0"/>
        <w:spacing w:before="240"/>
        <w:rPr>
          <w:rFonts w:ascii="Arial" w:hAnsi="Arial" w:cs="Arial"/>
          <w:sz w:val="24"/>
          <w:szCs w:val="24"/>
        </w:rPr>
      </w:pPr>
      <w:r>
        <w:rPr>
          <w:rFonts w:ascii="Arial" w:hAnsi="Arial" w:cs="Arial"/>
          <w:sz w:val="24"/>
          <w:szCs w:val="24"/>
        </w:rPr>
        <w:t>Digital and online numeracy support materials and activities including interactive events that promote the use of numeracy and Maths within daily lives.</w:t>
      </w:r>
    </w:p>
    <w:p w14:paraId="6230DA16" w14:textId="4D67D504" w:rsidR="00274F2B" w:rsidRDefault="00274F2B" w:rsidP="007420FA">
      <w:pPr>
        <w:pStyle w:val="ListParagraph"/>
        <w:numPr>
          <w:ilvl w:val="1"/>
          <w:numId w:val="3"/>
        </w:numPr>
        <w:autoSpaceDE w:val="0"/>
        <w:autoSpaceDN w:val="0"/>
        <w:adjustRightInd w:val="0"/>
        <w:spacing w:before="240"/>
        <w:rPr>
          <w:rFonts w:ascii="Arial" w:hAnsi="Arial" w:cs="Arial"/>
          <w:sz w:val="24"/>
          <w:szCs w:val="24"/>
        </w:rPr>
      </w:pPr>
      <w:r>
        <w:rPr>
          <w:rFonts w:ascii="Arial" w:hAnsi="Arial" w:cs="Arial"/>
          <w:sz w:val="24"/>
          <w:szCs w:val="24"/>
        </w:rPr>
        <w:lastRenderedPageBreak/>
        <w:t xml:space="preserve">Art and </w:t>
      </w:r>
      <w:r w:rsidR="006F18A9">
        <w:rPr>
          <w:rFonts w:ascii="Arial" w:hAnsi="Arial" w:cs="Arial"/>
          <w:sz w:val="24"/>
          <w:szCs w:val="24"/>
        </w:rPr>
        <w:t>craft-based</w:t>
      </w:r>
      <w:r>
        <w:rPr>
          <w:rFonts w:ascii="Arial" w:hAnsi="Arial" w:cs="Arial"/>
          <w:sz w:val="24"/>
          <w:szCs w:val="24"/>
        </w:rPr>
        <w:t xml:space="preserve"> workshops and courses to encourage the use of numeracy skills through different mediums that are not classroom based and are more creatively based.</w:t>
      </w:r>
    </w:p>
    <w:p w14:paraId="092C853F" w14:textId="77777777" w:rsidR="00E934F3" w:rsidRDefault="00E934F3" w:rsidP="00E934F3">
      <w:pPr>
        <w:rPr>
          <w:rFonts w:cs="Arial"/>
          <w:szCs w:val="24"/>
        </w:rPr>
      </w:pPr>
    </w:p>
    <w:p w14:paraId="0E0EECE0" w14:textId="1144AEA0" w:rsidR="007C5151" w:rsidRDefault="00E934F3" w:rsidP="007C5151">
      <w:pPr>
        <w:ind w:left="720" w:hanging="720"/>
        <w:rPr>
          <w:rFonts w:cs="Arial"/>
          <w:szCs w:val="24"/>
        </w:rPr>
      </w:pPr>
      <w:r>
        <w:rPr>
          <w:rFonts w:cs="Arial"/>
          <w:szCs w:val="24"/>
        </w:rPr>
        <w:t xml:space="preserve">5. </w:t>
      </w:r>
      <w:r>
        <w:rPr>
          <w:rFonts w:cs="Arial"/>
          <w:szCs w:val="24"/>
        </w:rPr>
        <w:tab/>
        <w:t>As the DfE offer for Multiply was not made until 22</w:t>
      </w:r>
      <w:r w:rsidRPr="00E934F3">
        <w:rPr>
          <w:rFonts w:cs="Arial"/>
          <w:szCs w:val="24"/>
          <w:vertAlign w:val="superscript"/>
        </w:rPr>
        <w:t>nd</w:t>
      </w:r>
      <w:r>
        <w:rPr>
          <w:rFonts w:cs="Arial"/>
          <w:szCs w:val="24"/>
        </w:rPr>
        <w:t xml:space="preserve"> August 2022</w:t>
      </w:r>
      <w:r w:rsidR="00EF2C0C">
        <w:rPr>
          <w:rFonts w:cs="Arial"/>
          <w:szCs w:val="24"/>
        </w:rPr>
        <w:t xml:space="preserve"> and delivery is expected to start immediately and Gloucestershire County Council must confirm grant acceptance by 2</w:t>
      </w:r>
      <w:r w:rsidR="00EF2C0C" w:rsidRPr="00EF2C0C">
        <w:rPr>
          <w:rFonts w:cs="Arial"/>
          <w:szCs w:val="24"/>
          <w:vertAlign w:val="superscript"/>
        </w:rPr>
        <w:t>nd</w:t>
      </w:r>
      <w:r w:rsidR="00EF2C0C">
        <w:rPr>
          <w:rFonts w:cs="Arial"/>
          <w:szCs w:val="24"/>
        </w:rPr>
        <w:t xml:space="preserve"> September 2022, it is necessary to seek urgent action to both confirm our acceptance and to launch the project. Given the short lead time it is also necessary to use external providers </w:t>
      </w:r>
      <w:r w:rsidR="007C5151">
        <w:rPr>
          <w:rFonts w:cs="Arial"/>
          <w:szCs w:val="24"/>
        </w:rPr>
        <w:t>to supplement in-house provision (60/40 split) and for all the work to be co-ordinated and managed by a new project management team</w:t>
      </w:r>
      <w:r w:rsidR="00AB4F91">
        <w:rPr>
          <w:rFonts w:cs="Arial"/>
          <w:szCs w:val="24"/>
        </w:rPr>
        <w:t xml:space="preserve">. </w:t>
      </w:r>
      <w:r w:rsidR="007C5151">
        <w:rPr>
          <w:rFonts w:cs="Arial"/>
          <w:szCs w:val="24"/>
        </w:rPr>
        <w:t xml:space="preserve">The team will consist of </w:t>
      </w:r>
      <w:r w:rsidR="00AB4F91">
        <w:rPr>
          <w:rFonts w:cs="Arial"/>
          <w:szCs w:val="24"/>
        </w:rPr>
        <w:t>five</w:t>
      </w:r>
      <w:r w:rsidR="007C5151">
        <w:rPr>
          <w:rFonts w:cs="Arial"/>
          <w:szCs w:val="24"/>
        </w:rPr>
        <w:t xml:space="preserve"> new staff members </w:t>
      </w:r>
      <w:r w:rsidR="00C544F1">
        <w:rPr>
          <w:rFonts w:cs="Arial"/>
          <w:szCs w:val="24"/>
        </w:rPr>
        <w:t>who</w:t>
      </w:r>
      <w:r w:rsidR="007C5151">
        <w:rPr>
          <w:rFonts w:cs="Arial"/>
          <w:szCs w:val="24"/>
        </w:rPr>
        <w:t xml:space="preserve"> </w:t>
      </w:r>
      <w:r w:rsidR="007C5151" w:rsidRPr="00ED7647">
        <w:rPr>
          <w:rFonts w:cs="Arial"/>
          <w:szCs w:val="24"/>
        </w:rPr>
        <w:t xml:space="preserve">be recruited for </w:t>
      </w:r>
      <w:r w:rsidR="00C544F1">
        <w:rPr>
          <w:rFonts w:cs="Arial"/>
          <w:szCs w:val="24"/>
        </w:rPr>
        <w:t>the</w:t>
      </w:r>
      <w:r w:rsidR="007C5151" w:rsidRPr="00ED7647">
        <w:rPr>
          <w:rFonts w:cs="Arial"/>
          <w:szCs w:val="24"/>
        </w:rPr>
        <w:t xml:space="preserve"> contract </w:t>
      </w:r>
      <w:r w:rsidR="007C5151">
        <w:rPr>
          <w:rFonts w:cs="Arial"/>
          <w:szCs w:val="24"/>
        </w:rPr>
        <w:t xml:space="preserve">in </w:t>
      </w:r>
      <w:r w:rsidR="007C5151" w:rsidRPr="00ED7647">
        <w:rPr>
          <w:rFonts w:cs="Arial"/>
          <w:szCs w:val="24"/>
        </w:rPr>
        <w:t>year 1 on a fixed term basis, a Lead Co-ordinator to oversee the contract performance and compliance</w:t>
      </w:r>
      <w:r w:rsidR="00C544F1">
        <w:rPr>
          <w:rFonts w:cs="Arial"/>
          <w:szCs w:val="24"/>
        </w:rPr>
        <w:t xml:space="preserve"> and </w:t>
      </w:r>
      <w:r w:rsidR="007C5151" w:rsidRPr="00ED7647">
        <w:rPr>
          <w:rFonts w:cs="Arial"/>
          <w:szCs w:val="24"/>
        </w:rPr>
        <w:t xml:space="preserve">2 Learning Co-ordinators to work across the county directly with </w:t>
      </w:r>
      <w:r w:rsidR="00C544F1">
        <w:rPr>
          <w:rFonts w:cs="Arial"/>
          <w:szCs w:val="24"/>
        </w:rPr>
        <w:t>stakeholders</w:t>
      </w:r>
      <w:r w:rsidR="007C5151" w:rsidRPr="00ED7647">
        <w:rPr>
          <w:rFonts w:cs="Arial"/>
          <w:szCs w:val="24"/>
        </w:rPr>
        <w:t xml:space="preserve"> </w:t>
      </w:r>
      <w:r w:rsidR="00C544F1">
        <w:rPr>
          <w:rFonts w:cs="Arial"/>
          <w:szCs w:val="24"/>
        </w:rPr>
        <w:t>driving</w:t>
      </w:r>
      <w:r w:rsidR="007C5151" w:rsidRPr="00ED7647">
        <w:rPr>
          <w:rFonts w:cs="Arial"/>
          <w:szCs w:val="24"/>
        </w:rPr>
        <w:t xml:space="preserve"> the provision and </w:t>
      </w:r>
      <w:r w:rsidR="00C544F1">
        <w:rPr>
          <w:rFonts w:cs="Arial"/>
          <w:szCs w:val="24"/>
        </w:rPr>
        <w:t>ensuring</w:t>
      </w:r>
      <w:r w:rsidR="007C5151" w:rsidRPr="00ED7647">
        <w:rPr>
          <w:rFonts w:cs="Arial"/>
          <w:szCs w:val="24"/>
        </w:rPr>
        <w:t xml:space="preserve"> the success and growth of the programme</w:t>
      </w:r>
      <w:r w:rsidR="00AB4F91" w:rsidRPr="00ED7647">
        <w:rPr>
          <w:rFonts w:cs="Arial"/>
          <w:szCs w:val="24"/>
        </w:rPr>
        <w:t xml:space="preserve">. </w:t>
      </w:r>
      <w:r w:rsidR="007C5151" w:rsidRPr="00ED7647">
        <w:rPr>
          <w:rFonts w:cs="Arial"/>
          <w:szCs w:val="24"/>
        </w:rPr>
        <w:t>An Administrator and a level 3 Business Admin Apprentice will be recruited to ensure learner data compliance using the existing Adult Education data management system (TERMS)</w:t>
      </w:r>
      <w:r w:rsidR="00C544F1" w:rsidRPr="00ED7647">
        <w:rPr>
          <w:rFonts w:cs="Arial"/>
          <w:szCs w:val="24"/>
        </w:rPr>
        <w:t xml:space="preserve">. </w:t>
      </w:r>
      <w:r w:rsidR="007C5151">
        <w:rPr>
          <w:rFonts w:cs="Arial"/>
          <w:szCs w:val="24"/>
        </w:rPr>
        <w:t>External delivery will be administered via a grants programme which will be overseen by the project management team to ensure maximum efficiency.</w:t>
      </w:r>
    </w:p>
    <w:p w14:paraId="7965368B" w14:textId="66F86AB2" w:rsidR="00E934F3" w:rsidRDefault="00EF2C0C" w:rsidP="007C5151">
      <w:pPr>
        <w:ind w:left="720" w:hanging="720"/>
        <w:rPr>
          <w:rFonts w:cs="Arial"/>
          <w:szCs w:val="24"/>
        </w:rPr>
      </w:pPr>
      <w:r>
        <w:rPr>
          <w:rFonts w:cs="Arial"/>
          <w:szCs w:val="24"/>
        </w:rPr>
        <w:tab/>
      </w:r>
      <w:r w:rsidR="00E934F3" w:rsidRPr="00E934F3">
        <w:rPr>
          <w:rFonts w:cs="Arial"/>
          <w:szCs w:val="24"/>
        </w:rPr>
        <w:t xml:space="preserve"> </w:t>
      </w:r>
    </w:p>
    <w:p w14:paraId="14A8ED66" w14:textId="45275716" w:rsidR="00E934F3" w:rsidRPr="00E934F3" w:rsidRDefault="00D71C71" w:rsidP="00D71C71">
      <w:pPr>
        <w:ind w:left="720" w:hanging="720"/>
        <w:rPr>
          <w:rFonts w:cs="Arial"/>
          <w:szCs w:val="24"/>
        </w:rPr>
      </w:pPr>
      <w:r>
        <w:rPr>
          <w:rFonts w:cs="Arial"/>
          <w:szCs w:val="24"/>
        </w:rPr>
        <w:t>6.</w:t>
      </w:r>
      <w:r>
        <w:rPr>
          <w:rFonts w:cs="Arial"/>
          <w:szCs w:val="24"/>
        </w:rPr>
        <w:tab/>
      </w:r>
      <w:r w:rsidRPr="00E934F3">
        <w:rPr>
          <w:rFonts w:cs="Arial"/>
          <w:szCs w:val="24"/>
        </w:rPr>
        <w:t xml:space="preserve">Multiply is a 3-year programme with each year of </w:t>
      </w:r>
      <w:r w:rsidR="00AB4F91">
        <w:rPr>
          <w:rFonts w:cs="Arial"/>
          <w:szCs w:val="24"/>
        </w:rPr>
        <w:t>performance</w:t>
      </w:r>
      <w:r w:rsidRPr="00E934F3">
        <w:rPr>
          <w:rFonts w:cs="Arial"/>
          <w:szCs w:val="24"/>
        </w:rPr>
        <w:t xml:space="preserve"> being reviewed annually </w:t>
      </w:r>
      <w:r w:rsidR="00AB4F91">
        <w:rPr>
          <w:rFonts w:cs="Arial"/>
          <w:szCs w:val="24"/>
        </w:rPr>
        <w:t xml:space="preserve">with funding being </w:t>
      </w:r>
      <w:r w:rsidRPr="00E934F3">
        <w:rPr>
          <w:rFonts w:cs="Arial"/>
          <w:szCs w:val="24"/>
        </w:rPr>
        <w:t>allocated at the start of the next financial year. 100% of the funding must be spent by the end of year 3 or it will be clawed back by the DfE</w:t>
      </w:r>
      <w:r w:rsidR="00AB4F91" w:rsidRPr="00E934F3">
        <w:rPr>
          <w:rFonts w:cs="Arial"/>
          <w:szCs w:val="24"/>
        </w:rPr>
        <w:t>.</w:t>
      </w:r>
      <w:r w:rsidR="00AB4F91">
        <w:rPr>
          <w:rFonts w:cs="Arial"/>
          <w:szCs w:val="24"/>
        </w:rPr>
        <w:t xml:space="preserve"> </w:t>
      </w:r>
      <w:r>
        <w:rPr>
          <w:rFonts w:cs="Arial"/>
          <w:szCs w:val="24"/>
        </w:rPr>
        <w:t>The funding programme includes for 10% administrative costs and the full cost of the project management team, thereby ensuring that no cost falls to the council</w:t>
      </w:r>
      <w:r w:rsidR="005F459F">
        <w:rPr>
          <w:rFonts w:cs="Arial"/>
          <w:szCs w:val="24"/>
        </w:rPr>
        <w:t>.</w:t>
      </w:r>
      <w:r w:rsidR="00E934F3">
        <w:rPr>
          <w:rFonts w:cs="Arial"/>
          <w:szCs w:val="24"/>
        </w:rPr>
        <w:tab/>
      </w:r>
    </w:p>
    <w:p w14:paraId="4D180F63" w14:textId="3EC54196" w:rsidR="00655DE3" w:rsidRPr="002912F1" w:rsidRDefault="00655DE3" w:rsidP="00655DE3">
      <w:pPr>
        <w:pStyle w:val="Header"/>
        <w:tabs>
          <w:tab w:val="clear" w:pos="4153"/>
          <w:tab w:val="clear" w:pos="8306"/>
        </w:tabs>
        <w:ind w:left="-720"/>
        <w:rPr>
          <w:rFonts w:ascii="Arial" w:hAnsi="Arial" w:cs="Arial"/>
          <w:b/>
          <w:szCs w:val="24"/>
        </w:rPr>
      </w:pPr>
      <w:r w:rsidRPr="002912F1">
        <w:rPr>
          <w:rFonts w:ascii="Arial" w:hAnsi="Arial" w:cs="Arial"/>
          <w:b/>
          <w:bCs/>
          <w:szCs w:val="24"/>
          <w:lang w:eastAsia="en-GB"/>
        </w:rPr>
        <w:tab/>
      </w:r>
      <w:r w:rsidRPr="002912F1">
        <w:rPr>
          <w:rFonts w:ascii="Arial" w:hAnsi="Arial" w:cs="Arial"/>
          <w:b/>
          <w:szCs w:val="24"/>
        </w:rPr>
        <w:t>Option</w:t>
      </w:r>
      <w:r w:rsidR="00C8305A">
        <w:rPr>
          <w:rFonts w:ascii="Arial" w:hAnsi="Arial" w:cs="Arial"/>
          <w:b/>
          <w:szCs w:val="24"/>
        </w:rPr>
        <w:t>s</w:t>
      </w:r>
    </w:p>
    <w:p w14:paraId="2F132A00" w14:textId="77777777" w:rsidR="00655DE3" w:rsidRPr="002912F1" w:rsidRDefault="00655DE3" w:rsidP="00655DE3">
      <w:pPr>
        <w:pStyle w:val="Header"/>
        <w:tabs>
          <w:tab w:val="clear" w:pos="4153"/>
          <w:tab w:val="clear" w:pos="8306"/>
        </w:tabs>
        <w:ind w:left="-720"/>
        <w:rPr>
          <w:rFonts w:ascii="Arial" w:hAnsi="Arial" w:cs="Arial"/>
          <w:b/>
          <w:szCs w:val="24"/>
        </w:rPr>
      </w:pPr>
    </w:p>
    <w:p w14:paraId="50FD10DC" w14:textId="7430F2AA" w:rsidR="005D69CF" w:rsidRDefault="00D71C71" w:rsidP="005D69CF">
      <w:pPr>
        <w:pStyle w:val="Header"/>
        <w:tabs>
          <w:tab w:val="clear" w:pos="4153"/>
          <w:tab w:val="clear" w:pos="8306"/>
        </w:tabs>
        <w:ind w:left="284" w:hanging="284"/>
        <w:rPr>
          <w:rFonts w:ascii="Arial" w:hAnsi="Arial" w:cs="Arial"/>
          <w:szCs w:val="24"/>
        </w:rPr>
      </w:pPr>
      <w:r>
        <w:rPr>
          <w:rFonts w:ascii="Arial" w:hAnsi="Arial" w:cs="Arial"/>
          <w:szCs w:val="24"/>
        </w:rPr>
        <w:t>7.</w:t>
      </w:r>
      <w:r>
        <w:rPr>
          <w:rFonts w:ascii="Arial" w:hAnsi="Arial" w:cs="Arial"/>
          <w:szCs w:val="24"/>
        </w:rPr>
        <w:tab/>
      </w:r>
      <w:r>
        <w:rPr>
          <w:rFonts w:ascii="Arial" w:hAnsi="Arial" w:cs="Arial"/>
          <w:szCs w:val="24"/>
        </w:rPr>
        <w:tab/>
        <w:t xml:space="preserve">That the </w:t>
      </w:r>
      <w:r w:rsidR="00C544F1">
        <w:rPr>
          <w:rFonts w:ascii="Arial" w:hAnsi="Arial" w:cs="Arial"/>
          <w:szCs w:val="24"/>
        </w:rPr>
        <w:t xml:space="preserve">Gloucestershire County Council </w:t>
      </w:r>
      <w:r>
        <w:rPr>
          <w:rFonts w:ascii="Arial" w:hAnsi="Arial" w:cs="Arial"/>
          <w:szCs w:val="24"/>
        </w:rPr>
        <w:t xml:space="preserve"> </w:t>
      </w:r>
    </w:p>
    <w:p w14:paraId="4B32A926" w14:textId="77777777" w:rsidR="00D71C71" w:rsidRDefault="00D71C71" w:rsidP="005D69CF">
      <w:pPr>
        <w:pStyle w:val="Header"/>
        <w:tabs>
          <w:tab w:val="clear" w:pos="4153"/>
          <w:tab w:val="clear" w:pos="8306"/>
        </w:tabs>
        <w:ind w:left="284" w:hanging="284"/>
        <w:rPr>
          <w:rFonts w:ascii="Arial" w:hAnsi="Arial" w:cs="Arial"/>
          <w:szCs w:val="24"/>
        </w:rPr>
      </w:pPr>
    </w:p>
    <w:p w14:paraId="043F868C" w14:textId="4B158C9E" w:rsidR="00D71C71" w:rsidRDefault="00D71C71" w:rsidP="00E04004">
      <w:pPr>
        <w:pStyle w:val="Header"/>
        <w:tabs>
          <w:tab w:val="clear" w:pos="4153"/>
          <w:tab w:val="clear" w:pos="8306"/>
        </w:tabs>
        <w:ind w:left="1440" w:hanging="720"/>
        <w:rPr>
          <w:rFonts w:ascii="Arial" w:hAnsi="Arial" w:cs="Arial"/>
          <w:szCs w:val="24"/>
        </w:rPr>
      </w:pPr>
      <w:r>
        <w:rPr>
          <w:rFonts w:ascii="Arial" w:hAnsi="Arial" w:cs="Arial"/>
          <w:szCs w:val="24"/>
        </w:rPr>
        <w:t xml:space="preserve">a) </w:t>
      </w:r>
      <w:r w:rsidR="00E04004">
        <w:rPr>
          <w:rFonts w:ascii="Arial" w:hAnsi="Arial" w:cs="Arial"/>
          <w:szCs w:val="24"/>
        </w:rPr>
        <w:tab/>
      </w:r>
      <w:r>
        <w:rPr>
          <w:rFonts w:ascii="Arial" w:hAnsi="Arial" w:cs="Arial"/>
          <w:szCs w:val="24"/>
        </w:rPr>
        <w:t xml:space="preserve">enters into the agreement with DfE to provide the fully funded 3-year Multiply programme with the associated benefits to the community of improving their </w:t>
      </w:r>
      <w:r w:rsidR="00C544F1">
        <w:rPr>
          <w:rFonts w:ascii="Arial" w:hAnsi="Arial" w:cs="Arial"/>
          <w:szCs w:val="24"/>
        </w:rPr>
        <w:t>mathematics/numeracy</w:t>
      </w:r>
      <w:r>
        <w:rPr>
          <w:rFonts w:ascii="Arial" w:hAnsi="Arial" w:cs="Arial"/>
          <w:szCs w:val="24"/>
        </w:rPr>
        <w:t xml:space="preserve"> skills</w:t>
      </w:r>
      <w:r w:rsidR="00C544F1">
        <w:rPr>
          <w:rFonts w:ascii="Arial" w:hAnsi="Arial" w:cs="Arial"/>
          <w:szCs w:val="24"/>
        </w:rPr>
        <w:t>.</w:t>
      </w:r>
    </w:p>
    <w:p w14:paraId="49AFDEA3" w14:textId="77777777" w:rsidR="00D71C71" w:rsidRDefault="00D71C71" w:rsidP="00D71C71">
      <w:pPr>
        <w:pStyle w:val="Header"/>
        <w:tabs>
          <w:tab w:val="clear" w:pos="4153"/>
          <w:tab w:val="clear" w:pos="8306"/>
        </w:tabs>
        <w:ind w:left="720" w:hanging="720"/>
        <w:rPr>
          <w:rFonts w:ascii="Arial" w:hAnsi="Arial" w:cs="Arial"/>
          <w:szCs w:val="24"/>
        </w:rPr>
      </w:pPr>
    </w:p>
    <w:p w14:paraId="607F9C1A" w14:textId="14DA65E9" w:rsidR="00D71C71" w:rsidRDefault="00D71C71" w:rsidP="00E04004">
      <w:pPr>
        <w:pStyle w:val="Header"/>
        <w:tabs>
          <w:tab w:val="clear" w:pos="4153"/>
          <w:tab w:val="clear" w:pos="8306"/>
        </w:tabs>
        <w:ind w:left="1440" w:hanging="720"/>
        <w:rPr>
          <w:rFonts w:ascii="Arial" w:hAnsi="Arial" w:cs="Arial"/>
          <w:szCs w:val="24"/>
        </w:rPr>
      </w:pPr>
      <w:r>
        <w:rPr>
          <w:rFonts w:ascii="Arial" w:hAnsi="Arial" w:cs="Arial"/>
          <w:szCs w:val="24"/>
        </w:rPr>
        <w:t>b)</w:t>
      </w:r>
      <w:r>
        <w:rPr>
          <w:rFonts w:ascii="Arial" w:hAnsi="Arial" w:cs="Arial"/>
          <w:szCs w:val="24"/>
        </w:rPr>
        <w:tab/>
        <w:t xml:space="preserve">does not </w:t>
      </w:r>
      <w:r w:rsidR="00E04004">
        <w:rPr>
          <w:rFonts w:ascii="Arial" w:hAnsi="Arial" w:cs="Arial"/>
          <w:szCs w:val="24"/>
        </w:rPr>
        <w:t>enter</w:t>
      </w:r>
      <w:r>
        <w:rPr>
          <w:rFonts w:ascii="Arial" w:hAnsi="Arial" w:cs="Arial"/>
          <w:szCs w:val="24"/>
        </w:rPr>
        <w:t xml:space="preserve"> the programme and as a result the community do not have the benefit of accessing the free mathematics/numeracy learning </w:t>
      </w:r>
      <w:r w:rsidR="00E04004">
        <w:rPr>
          <w:rFonts w:ascii="Arial" w:hAnsi="Arial" w:cs="Arial"/>
          <w:szCs w:val="24"/>
        </w:rPr>
        <w:t>opportunities</w:t>
      </w:r>
      <w:r>
        <w:rPr>
          <w:rFonts w:ascii="Arial" w:hAnsi="Arial" w:cs="Arial"/>
          <w:szCs w:val="24"/>
        </w:rPr>
        <w:t xml:space="preserve"> provided by Multiply.</w:t>
      </w:r>
    </w:p>
    <w:p w14:paraId="37854F49" w14:textId="103F79B1" w:rsidR="00D71C71" w:rsidRDefault="00D71C71" w:rsidP="00D71C71">
      <w:pPr>
        <w:pStyle w:val="Header"/>
        <w:tabs>
          <w:tab w:val="clear" w:pos="4153"/>
          <w:tab w:val="clear" w:pos="8306"/>
        </w:tabs>
        <w:ind w:left="720" w:hanging="720"/>
        <w:rPr>
          <w:rFonts w:ascii="Arial" w:hAnsi="Arial" w:cs="Arial"/>
          <w:szCs w:val="24"/>
        </w:rPr>
      </w:pPr>
    </w:p>
    <w:p w14:paraId="0FB744D4" w14:textId="77777777" w:rsidR="00C544F1" w:rsidRDefault="00D71C71" w:rsidP="00C544F1">
      <w:pPr>
        <w:pStyle w:val="Header"/>
        <w:tabs>
          <w:tab w:val="clear" w:pos="4153"/>
          <w:tab w:val="clear" w:pos="8306"/>
        </w:tabs>
        <w:ind w:left="720" w:hanging="720"/>
        <w:rPr>
          <w:rFonts w:ascii="Arial" w:hAnsi="Arial" w:cs="Arial"/>
          <w:b/>
          <w:bCs/>
          <w:szCs w:val="24"/>
        </w:rPr>
      </w:pPr>
      <w:r>
        <w:rPr>
          <w:rFonts w:ascii="Arial" w:hAnsi="Arial" w:cs="Arial"/>
          <w:szCs w:val="24"/>
        </w:rPr>
        <w:tab/>
      </w:r>
      <w:r w:rsidRPr="00E04004">
        <w:rPr>
          <w:rFonts w:ascii="Arial" w:hAnsi="Arial" w:cs="Arial"/>
          <w:b/>
          <w:bCs/>
          <w:szCs w:val="24"/>
        </w:rPr>
        <w:t>option a is the recommended course of action.</w:t>
      </w:r>
    </w:p>
    <w:p w14:paraId="5CE5A492" w14:textId="799631EE" w:rsidR="00655DE3" w:rsidRDefault="00655DE3" w:rsidP="00C544F1">
      <w:pPr>
        <w:pStyle w:val="Header"/>
        <w:tabs>
          <w:tab w:val="clear" w:pos="4153"/>
          <w:tab w:val="clear" w:pos="8306"/>
        </w:tabs>
        <w:ind w:hanging="709"/>
        <w:rPr>
          <w:rFonts w:ascii="Arial" w:hAnsi="Arial" w:cs="Arial"/>
          <w:b/>
          <w:szCs w:val="24"/>
        </w:rPr>
      </w:pPr>
      <w:r w:rsidRPr="00E903D3">
        <w:rPr>
          <w:rFonts w:ascii="Arial" w:hAnsi="Arial" w:cs="Arial"/>
          <w:b/>
          <w:szCs w:val="24"/>
        </w:rPr>
        <w:t>Risk</w:t>
      </w:r>
      <w:r w:rsidRPr="0019748A">
        <w:rPr>
          <w:rFonts w:ascii="Arial" w:hAnsi="Arial" w:cs="Arial"/>
          <w:b/>
          <w:szCs w:val="24"/>
        </w:rPr>
        <w:t>s</w:t>
      </w:r>
      <w:r w:rsidRPr="004E5846">
        <w:rPr>
          <w:rFonts w:ascii="Arial" w:hAnsi="Arial" w:cs="Arial"/>
          <w:b/>
          <w:szCs w:val="24"/>
        </w:rPr>
        <w:t xml:space="preserve"> </w:t>
      </w:r>
    </w:p>
    <w:p w14:paraId="120681C8" w14:textId="77777777" w:rsidR="00C544F1" w:rsidRPr="00C544F1" w:rsidRDefault="00C544F1" w:rsidP="00C544F1">
      <w:pPr>
        <w:pStyle w:val="Header"/>
        <w:tabs>
          <w:tab w:val="clear" w:pos="4153"/>
          <w:tab w:val="clear" w:pos="8306"/>
        </w:tabs>
        <w:ind w:hanging="709"/>
        <w:rPr>
          <w:rFonts w:ascii="Arial" w:hAnsi="Arial" w:cs="Arial"/>
          <w:b/>
          <w:bCs/>
          <w:szCs w:val="24"/>
        </w:rPr>
      </w:pPr>
    </w:p>
    <w:p w14:paraId="70E750E6" w14:textId="043E9A56" w:rsidR="00655DE3" w:rsidRPr="001963FE" w:rsidRDefault="00C544F1" w:rsidP="00655DE3">
      <w:pPr>
        <w:autoSpaceDE w:val="0"/>
        <w:autoSpaceDN w:val="0"/>
        <w:adjustRightInd w:val="0"/>
        <w:ind w:left="426" w:hanging="426"/>
        <w:rPr>
          <w:rFonts w:cs="Arial"/>
          <w:szCs w:val="24"/>
          <w:lang w:eastAsia="en-GB"/>
        </w:rPr>
      </w:pPr>
      <w:r>
        <w:rPr>
          <w:rFonts w:cs="Arial"/>
          <w:szCs w:val="24"/>
          <w:lang w:eastAsia="en-GB"/>
        </w:rPr>
        <w:t>8</w:t>
      </w:r>
      <w:r w:rsidR="00691556">
        <w:rPr>
          <w:rFonts w:cs="Arial"/>
          <w:szCs w:val="24"/>
          <w:lang w:eastAsia="en-GB"/>
        </w:rPr>
        <w:t>.</w:t>
      </w:r>
      <w:r w:rsidR="00655DE3" w:rsidRPr="001963FE">
        <w:rPr>
          <w:rFonts w:cs="Arial"/>
          <w:szCs w:val="24"/>
          <w:lang w:eastAsia="en-GB"/>
        </w:rPr>
        <w:tab/>
        <w:t>A risk arises from the reliance upon partnership agreements with local providers and stakeholders to support the delivery of the programme across the county</w:t>
      </w:r>
      <w:r w:rsidR="009A76FF" w:rsidRPr="001963FE">
        <w:rPr>
          <w:rFonts w:cs="Arial"/>
          <w:szCs w:val="24"/>
          <w:lang w:eastAsia="en-GB"/>
        </w:rPr>
        <w:t xml:space="preserve">. </w:t>
      </w:r>
      <w:r w:rsidR="00655DE3" w:rsidRPr="001963FE">
        <w:rPr>
          <w:rFonts w:cs="Arial"/>
          <w:szCs w:val="24"/>
          <w:lang w:eastAsia="en-GB"/>
        </w:rPr>
        <w:t>If any of the partners were to fail to attract the number of learners identified in their submitted proposals</w:t>
      </w:r>
      <w:r w:rsidR="009620E2">
        <w:rPr>
          <w:rFonts w:cs="Arial"/>
          <w:szCs w:val="24"/>
          <w:lang w:eastAsia="en-GB"/>
        </w:rPr>
        <w:t>,</w:t>
      </w:r>
      <w:r w:rsidR="00655DE3" w:rsidRPr="001963FE">
        <w:rPr>
          <w:rFonts w:cs="Arial"/>
          <w:szCs w:val="24"/>
          <w:lang w:eastAsia="en-GB"/>
        </w:rPr>
        <w:t xml:space="preserve"> or if they are unable to continue to trade</w:t>
      </w:r>
      <w:r w:rsidR="009620E2">
        <w:rPr>
          <w:rFonts w:cs="Arial"/>
          <w:szCs w:val="24"/>
          <w:lang w:eastAsia="en-GB"/>
        </w:rPr>
        <w:t>,</w:t>
      </w:r>
      <w:r w:rsidR="00655DE3" w:rsidRPr="001963FE">
        <w:rPr>
          <w:rFonts w:cs="Arial"/>
          <w:szCs w:val="24"/>
          <w:lang w:eastAsia="en-GB"/>
        </w:rPr>
        <w:t xml:space="preserve"> GCC would need to pick these targets up as a service or risk failing to deliver results</w:t>
      </w:r>
      <w:r w:rsidR="009A76FF" w:rsidRPr="001963FE">
        <w:rPr>
          <w:rFonts w:cs="Arial"/>
          <w:szCs w:val="24"/>
          <w:lang w:eastAsia="en-GB"/>
        </w:rPr>
        <w:t>.</w:t>
      </w:r>
      <w:r w:rsidR="009A76FF">
        <w:rPr>
          <w:rFonts w:cs="Arial"/>
          <w:szCs w:val="24"/>
          <w:lang w:eastAsia="en-GB"/>
        </w:rPr>
        <w:t xml:space="preserve"> </w:t>
      </w:r>
      <w:bookmarkStart w:id="6" w:name="_Hlk112219449"/>
      <w:r w:rsidR="00387652">
        <w:rPr>
          <w:rFonts w:cs="Arial"/>
          <w:szCs w:val="24"/>
          <w:lang w:eastAsia="en-GB"/>
        </w:rPr>
        <w:t xml:space="preserve">To mitigate this </w:t>
      </w:r>
      <w:r w:rsidR="00437F9A">
        <w:rPr>
          <w:rFonts w:cs="Arial"/>
          <w:szCs w:val="24"/>
          <w:lang w:eastAsia="en-GB"/>
        </w:rPr>
        <w:t>risk, programme</w:t>
      </w:r>
      <w:r w:rsidR="00691556">
        <w:rPr>
          <w:rFonts w:cs="Arial"/>
          <w:szCs w:val="24"/>
          <w:lang w:eastAsia="en-GB"/>
        </w:rPr>
        <w:t xml:space="preserve"> </w:t>
      </w:r>
      <w:r w:rsidR="009A4683">
        <w:rPr>
          <w:rFonts w:cs="Arial"/>
          <w:szCs w:val="24"/>
          <w:lang w:eastAsia="en-GB"/>
        </w:rPr>
        <w:t xml:space="preserve">staff </w:t>
      </w:r>
      <w:r w:rsidR="00437F9A">
        <w:rPr>
          <w:rFonts w:cs="Arial"/>
          <w:szCs w:val="24"/>
          <w:lang w:eastAsia="en-GB"/>
        </w:rPr>
        <w:t>have</w:t>
      </w:r>
      <w:r w:rsidR="009A4683">
        <w:rPr>
          <w:rFonts w:cs="Arial"/>
          <w:szCs w:val="24"/>
          <w:lang w:eastAsia="en-GB"/>
        </w:rPr>
        <w:t xml:space="preserve"> been factored into the investment plan </w:t>
      </w:r>
      <w:bookmarkEnd w:id="6"/>
      <w:r w:rsidR="009A4683">
        <w:rPr>
          <w:rFonts w:cs="Arial"/>
          <w:szCs w:val="24"/>
          <w:lang w:eastAsia="en-GB"/>
        </w:rPr>
        <w:t xml:space="preserve">with salaries and on-costs included in the provision costs, this includes any potential redundancy costs should employment be longer than a </w:t>
      </w:r>
      <w:r w:rsidR="00735E63">
        <w:rPr>
          <w:rFonts w:cs="Arial"/>
          <w:szCs w:val="24"/>
          <w:lang w:eastAsia="en-GB"/>
        </w:rPr>
        <w:t>2-year</w:t>
      </w:r>
      <w:r w:rsidR="009A4683">
        <w:rPr>
          <w:rFonts w:cs="Arial"/>
          <w:szCs w:val="24"/>
          <w:lang w:eastAsia="en-GB"/>
        </w:rPr>
        <w:t xml:space="preserve"> period.</w:t>
      </w:r>
    </w:p>
    <w:p w14:paraId="75177BEA" w14:textId="77777777" w:rsidR="00655DE3" w:rsidRPr="001963FE" w:rsidRDefault="00655DE3" w:rsidP="00655DE3">
      <w:pPr>
        <w:autoSpaceDE w:val="0"/>
        <w:autoSpaceDN w:val="0"/>
        <w:adjustRightInd w:val="0"/>
        <w:ind w:left="426" w:hanging="426"/>
        <w:rPr>
          <w:rFonts w:cs="Arial"/>
          <w:szCs w:val="24"/>
          <w:lang w:eastAsia="en-GB"/>
        </w:rPr>
      </w:pPr>
    </w:p>
    <w:p w14:paraId="20F9C3A9" w14:textId="4BBEB283" w:rsidR="00655DE3" w:rsidRPr="001963FE" w:rsidRDefault="00C544F1" w:rsidP="00655DE3">
      <w:pPr>
        <w:autoSpaceDE w:val="0"/>
        <w:autoSpaceDN w:val="0"/>
        <w:adjustRightInd w:val="0"/>
        <w:ind w:left="426" w:hanging="426"/>
        <w:rPr>
          <w:rFonts w:cs="Arial"/>
          <w:szCs w:val="24"/>
          <w:lang w:eastAsia="en-GB"/>
        </w:rPr>
      </w:pPr>
      <w:r>
        <w:rPr>
          <w:rFonts w:cs="Arial"/>
          <w:szCs w:val="24"/>
          <w:lang w:eastAsia="en-GB"/>
        </w:rPr>
        <w:t>9</w:t>
      </w:r>
      <w:r w:rsidR="000C194C">
        <w:rPr>
          <w:rFonts w:cs="Arial"/>
          <w:szCs w:val="24"/>
          <w:lang w:eastAsia="en-GB"/>
        </w:rPr>
        <w:t>.</w:t>
      </w:r>
      <w:r w:rsidR="00655DE3" w:rsidRPr="001963FE">
        <w:rPr>
          <w:rFonts w:cs="Arial"/>
          <w:szCs w:val="24"/>
          <w:lang w:eastAsia="en-GB"/>
        </w:rPr>
        <w:tab/>
        <w:t xml:space="preserve">The delay in having </w:t>
      </w:r>
      <w:r w:rsidR="00AB0C34">
        <w:rPr>
          <w:rFonts w:cs="Arial"/>
          <w:szCs w:val="24"/>
          <w:lang w:eastAsia="en-GB"/>
        </w:rPr>
        <w:t xml:space="preserve">the </w:t>
      </w:r>
      <w:r w:rsidR="00655DE3" w:rsidRPr="001963FE">
        <w:rPr>
          <w:rFonts w:cs="Arial"/>
          <w:szCs w:val="24"/>
          <w:lang w:eastAsia="en-GB"/>
        </w:rPr>
        <w:t>Year 1 allocation confirmed impacts on the full year delivery of the programme and funding allocation</w:t>
      </w:r>
      <w:r w:rsidR="009A76FF" w:rsidRPr="001963FE">
        <w:rPr>
          <w:rFonts w:cs="Arial"/>
          <w:szCs w:val="24"/>
          <w:lang w:eastAsia="en-GB"/>
        </w:rPr>
        <w:t xml:space="preserve">. </w:t>
      </w:r>
      <w:r w:rsidR="00655DE3" w:rsidRPr="001963FE">
        <w:rPr>
          <w:rFonts w:cs="Arial"/>
          <w:szCs w:val="24"/>
          <w:lang w:eastAsia="en-GB"/>
        </w:rPr>
        <w:t xml:space="preserve">GCC would mitigate this through ongoing </w:t>
      </w:r>
      <w:r w:rsidR="00655DE3" w:rsidRPr="001963FE">
        <w:rPr>
          <w:rFonts w:cs="Arial"/>
          <w:szCs w:val="24"/>
          <w:lang w:eastAsia="en-GB"/>
        </w:rPr>
        <w:lastRenderedPageBreak/>
        <w:t>discussions with the Department of Education during the funding year to monitor performance and raise concerns regarding grant spend and adjust the targets within the investment plan accordingly</w:t>
      </w:r>
      <w:r w:rsidR="009A76FF" w:rsidRPr="001963FE">
        <w:rPr>
          <w:rFonts w:cs="Arial"/>
          <w:szCs w:val="24"/>
          <w:lang w:eastAsia="en-GB"/>
        </w:rPr>
        <w:t>.</w:t>
      </w:r>
      <w:r w:rsidR="009A76FF">
        <w:rPr>
          <w:rFonts w:cs="Arial"/>
          <w:szCs w:val="24"/>
          <w:lang w:eastAsia="en-GB"/>
        </w:rPr>
        <w:t xml:space="preserve"> </w:t>
      </w:r>
      <w:r w:rsidR="005565D3">
        <w:rPr>
          <w:rFonts w:cs="Arial"/>
          <w:szCs w:val="24"/>
          <w:lang w:eastAsia="en-GB"/>
        </w:rPr>
        <w:t xml:space="preserve">GCC </w:t>
      </w:r>
      <w:r w:rsidR="009A76FF">
        <w:rPr>
          <w:rFonts w:cs="Arial"/>
          <w:szCs w:val="24"/>
          <w:lang w:eastAsia="en-GB"/>
        </w:rPr>
        <w:t>collaborated</w:t>
      </w:r>
      <w:r w:rsidR="005565D3">
        <w:rPr>
          <w:rFonts w:cs="Arial"/>
          <w:szCs w:val="24"/>
          <w:lang w:eastAsia="en-GB"/>
        </w:rPr>
        <w:t xml:space="preserve"> with partner organisations to gain expressions of interest with detailed learner numbers and costings to gain statistics which helped form the investment plan</w:t>
      </w:r>
      <w:r w:rsidR="009A76FF">
        <w:rPr>
          <w:rFonts w:cs="Arial"/>
          <w:szCs w:val="24"/>
          <w:lang w:eastAsia="en-GB"/>
        </w:rPr>
        <w:t xml:space="preserve">. </w:t>
      </w:r>
      <w:r w:rsidR="005565D3">
        <w:rPr>
          <w:rFonts w:cs="Arial"/>
          <w:szCs w:val="24"/>
          <w:lang w:eastAsia="en-GB"/>
        </w:rPr>
        <w:t>These numbers are achievable and will build as the programme develops across years 2 and 3.</w:t>
      </w:r>
    </w:p>
    <w:p w14:paraId="28D3E36B" w14:textId="77777777" w:rsidR="00655DE3" w:rsidRPr="001963FE" w:rsidRDefault="00655DE3" w:rsidP="00655DE3">
      <w:pPr>
        <w:autoSpaceDE w:val="0"/>
        <w:autoSpaceDN w:val="0"/>
        <w:adjustRightInd w:val="0"/>
        <w:ind w:left="426" w:hanging="426"/>
        <w:rPr>
          <w:rFonts w:cs="Arial"/>
          <w:szCs w:val="24"/>
          <w:lang w:eastAsia="en-GB"/>
        </w:rPr>
      </w:pPr>
    </w:p>
    <w:p w14:paraId="316F6C10" w14:textId="21BD4945" w:rsidR="00655DE3" w:rsidRDefault="00C544F1" w:rsidP="00655DE3">
      <w:pPr>
        <w:autoSpaceDE w:val="0"/>
        <w:autoSpaceDN w:val="0"/>
        <w:adjustRightInd w:val="0"/>
        <w:ind w:left="426" w:hanging="426"/>
        <w:rPr>
          <w:rFonts w:cs="Arial"/>
          <w:szCs w:val="24"/>
          <w:lang w:eastAsia="en-GB"/>
        </w:rPr>
      </w:pPr>
      <w:r>
        <w:rPr>
          <w:rFonts w:cs="Arial"/>
          <w:szCs w:val="24"/>
          <w:lang w:eastAsia="en-GB"/>
        </w:rPr>
        <w:t>1</w:t>
      </w:r>
      <w:r w:rsidR="008103E5">
        <w:rPr>
          <w:rFonts w:cs="Arial"/>
          <w:szCs w:val="24"/>
          <w:lang w:eastAsia="en-GB"/>
        </w:rPr>
        <w:t>0</w:t>
      </w:r>
      <w:r w:rsidR="00655DE3" w:rsidRPr="001963FE">
        <w:rPr>
          <w:rFonts w:cs="Arial"/>
          <w:szCs w:val="24"/>
          <w:lang w:eastAsia="en-GB"/>
        </w:rPr>
        <w:t>.</w:t>
      </w:r>
      <w:r w:rsidR="00655DE3" w:rsidRPr="001963FE">
        <w:rPr>
          <w:rFonts w:cs="Arial"/>
          <w:szCs w:val="24"/>
          <w:lang w:eastAsia="en-GB"/>
        </w:rPr>
        <w:tab/>
        <w:t xml:space="preserve">Engaging learners to join the Multiply programme is going to be a challenge due to the barriers </w:t>
      </w:r>
      <w:r w:rsidR="00AB0C34">
        <w:rPr>
          <w:rFonts w:cs="Arial"/>
          <w:szCs w:val="24"/>
          <w:lang w:eastAsia="en-GB"/>
        </w:rPr>
        <w:t xml:space="preserve">some </w:t>
      </w:r>
      <w:r w:rsidR="00655DE3" w:rsidRPr="001963FE">
        <w:rPr>
          <w:rFonts w:cs="Arial"/>
          <w:szCs w:val="24"/>
          <w:lang w:eastAsia="en-GB"/>
        </w:rPr>
        <w:t xml:space="preserve">people have to </w:t>
      </w:r>
      <w:r w:rsidR="00AB0C34">
        <w:rPr>
          <w:rFonts w:cs="Arial"/>
          <w:szCs w:val="24"/>
          <w:lang w:eastAsia="en-GB"/>
        </w:rPr>
        <w:t>m</w:t>
      </w:r>
      <w:r w:rsidR="00655DE3" w:rsidRPr="001963FE">
        <w:rPr>
          <w:rFonts w:cs="Arial"/>
          <w:szCs w:val="24"/>
          <w:lang w:eastAsia="en-GB"/>
        </w:rPr>
        <w:t>aths</w:t>
      </w:r>
      <w:r w:rsidR="009A76FF" w:rsidRPr="001963FE">
        <w:rPr>
          <w:rFonts w:cs="Arial"/>
          <w:szCs w:val="24"/>
          <w:lang w:eastAsia="en-GB"/>
        </w:rPr>
        <w:t xml:space="preserve">. </w:t>
      </w:r>
      <w:r w:rsidR="00655DE3" w:rsidRPr="001963FE">
        <w:rPr>
          <w:rFonts w:cs="Arial"/>
          <w:szCs w:val="24"/>
          <w:lang w:eastAsia="en-GB"/>
        </w:rPr>
        <w:t>To mitigate this, the Department of Education has agreed that a funded engagement role can be built into the GCC Multiply Investment Plan</w:t>
      </w:r>
      <w:r w:rsidR="009A76FF">
        <w:rPr>
          <w:rFonts w:cs="Arial"/>
          <w:szCs w:val="24"/>
          <w:lang w:eastAsia="en-GB"/>
        </w:rPr>
        <w:t xml:space="preserve">. </w:t>
      </w:r>
      <w:r w:rsidR="005565D3">
        <w:rPr>
          <w:rFonts w:cs="Arial"/>
          <w:szCs w:val="24"/>
          <w:lang w:eastAsia="en-GB"/>
        </w:rPr>
        <w:t xml:space="preserve">Gloucestershire County Council has built this role into their investment plan along with a programme lead and </w:t>
      </w:r>
      <w:r w:rsidR="009A76FF">
        <w:rPr>
          <w:rFonts w:cs="Arial"/>
          <w:szCs w:val="24"/>
          <w:lang w:eastAsia="en-GB"/>
        </w:rPr>
        <w:t>two</w:t>
      </w:r>
      <w:r w:rsidR="007F25E9">
        <w:rPr>
          <w:rFonts w:cs="Arial"/>
          <w:szCs w:val="24"/>
          <w:lang w:eastAsia="en-GB"/>
        </w:rPr>
        <w:t xml:space="preserve"> learning co-ordinators who will work within local communities, engaging with local community groups and </w:t>
      </w:r>
      <w:r w:rsidR="009A76FF">
        <w:rPr>
          <w:rFonts w:cs="Arial"/>
          <w:szCs w:val="24"/>
          <w:lang w:eastAsia="en-GB"/>
        </w:rPr>
        <w:t>consulting</w:t>
      </w:r>
      <w:r w:rsidR="007F25E9">
        <w:rPr>
          <w:rFonts w:cs="Arial"/>
          <w:szCs w:val="24"/>
          <w:lang w:eastAsia="en-GB"/>
        </w:rPr>
        <w:t xml:space="preserve"> with all partners delivering the Multiply programme</w:t>
      </w:r>
      <w:r w:rsidR="009A76FF">
        <w:rPr>
          <w:rFonts w:cs="Arial"/>
          <w:szCs w:val="24"/>
          <w:lang w:eastAsia="en-GB"/>
        </w:rPr>
        <w:t xml:space="preserve">. </w:t>
      </w:r>
      <w:r w:rsidR="007F25E9">
        <w:rPr>
          <w:rFonts w:cs="Arial"/>
          <w:szCs w:val="24"/>
          <w:lang w:eastAsia="en-GB"/>
        </w:rPr>
        <w:t>The DfE will be launching a toolkit to support with the delivery of Multiply, this will help with promotion and marketing of the programme.</w:t>
      </w:r>
    </w:p>
    <w:p w14:paraId="1429B31A" w14:textId="77777777" w:rsidR="007F25E9" w:rsidRPr="001963FE" w:rsidRDefault="007F25E9" w:rsidP="00655DE3">
      <w:pPr>
        <w:autoSpaceDE w:val="0"/>
        <w:autoSpaceDN w:val="0"/>
        <w:adjustRightInd w:val="0"/>
        <w:ind w:left="426" w:hanging="426"/>
        <w:rPr>
          <w:rFonts w:cs="Arial"/>
          <w:szCs w:val="24"/>
          <w:lang w:eastAsia="en-GB"/>
        </w:rPr>
      </w:pPr>
    </w:p>
    <w:p w14:paraId="1A91779C" w14:textId="77777777" w:rsidR="00655DE3" w:rsidRPr="001E6C29" w:rsidRDefault="00655DE3" w:rsidP="00655DE3">
      <w:pPr>
        <w:autoSpaceDE w:val="0"/>
        <w:autoSpaceDN w:val="0"/>
        <w:adjustRightInd w:val="0"/>
        <w:ind w:left="-709"/>
        <w:rPr>
          <w:rFonts w:cs="Arial"/>
          <w:szCs w:val="24"/>
          <w:lang w:eastAsia="en-GB"/>
        </w:rPr>
      </w:pPr>
      <w:r>
        <w:rPr>
          <w:rFonts w:cs="Arial"/>
          <w:b/>
          <w:bCs/>
          <w:szCs w:val="24"/>
        </w:rPr>
        <w:t>Financial Implications</w:t>
      </w:r>
    </w:p>
    <w:p w14:paraId="59A64E52" w14:textId="77777777" w:rsidR="00655DE3" w:rsidRDefault="00655DE3" w:rsidP="00655DE3">
      <w:pPr>
        <w:autoSpaceDE w:val="0"/>
        <w:autoSpaceDN w:val="0"/>
        <w:adjustRightInd w:val="0"/>
        <w:rPr>
          <w:rFonts w:cs="Arial"/>
          <w:szCs w:val="24"/>
          <w:lang w:eastAsia="en-GB"/>
        </w:rPr>
      </w:pPr>
    </w:p>
    <w:p w14:paraId="5C1797E6" w14:textId="130C4753" w:rsidR="00655DE3" w:rsidRPr="000C194C" w:rsidRDefault="00C544F1" w:rsidP="000C194C">
      <w:pPr>
        <w:autoSpaceDE w:val="0"/>
        <w:autoSpaceDN w:val="0"/>
        <w:adjustRightInd w:val="0"/>
        <w:ind w:left="426" w:hanging="426"/>
        <w:rPr>
          <w:rFonts w:cs="Arial"/>
          <w:szCs w:val="32"/>
        </w:rPr>
      </w:pPr>
      <w:r>
        <w:rPr>
          <w:rFonts w:cs="Arial"/>
          <w:szCs w:val="32"/>
        </w:rPr>
        <w:t>1</w:t>
      </w:r>
      <w:r w:rsidR="008103E5">
        <w:rPr>
          <w:rFonts w:cs="Arial"/>
          <w:szCs w:val="32"/>
        </w:rPr>
        <w:t>1</w:t>
      </w:r>
      <w:r w:rsidR="000C194C">
        <w:rPr>
          <w:rFonts w:cs="Arial"/>
          <w:szCs w:val="32"/>
        </w:rPr>
        <w:t xml:space="preserve">. </w:t>
      </w:r>
      <w:r w:rsidR="00655DE3" w:rsidRPr="000C194C">
        <w:rPr>
          <w:rFonts w:cs="Arial"/>
          <w:szCs w:val="32"/>
        </w:rPr>
        <w:t>The table below outlines Gloucestershire County Council’s allocation for the years</w:t>
      </w:r>
      <w:r w:rsidR="000C194C">
        <w:rPr>
          <w:rFonts w:cs="Arial"/>
          <w:szCs w:val="32"/>
        </w:rPr>
        <w:t xml:space="preserve"> </w:t>
      </w:r>
      <w:r w:rsidR="00655DE3" w:rsidRPr="000C194C">
        <w:rPr>
          <w:rFonts w:cs="Arial"/>
          <w:szCs w:val="32"/>
        </w:rPr>
        <w:t>2022 – 2025</w:t>
      </w:r>
      <w:r w:rsidR="00AB0C34" w:rsidRPr="000C194C">
        <w:rPr>
          <w:rFonts w:cs="Arial"/>
          <w:szCs w:val="32"/>
        </w:rPr>
        <w:t xml:space="preserve">. </w:t>
      </w:r>
    </w:p>
    <w:p w14:paraId="102B32EA" w14:textId="77777777" w:rsidR="00655DE3" w:rsidRPr="00F92F94" w:rsidRDefault="00655DE3" w:rsidP="00655DE3">
      <w:pPr>
        <w:autoSpaceDE w:val="0"/>
        <w:autoSpaceDN w:val="0"/>
        <w:adjustRightInd w:val="0"/>
        <w:ind w:left="426" w:hanging="426"/>
        <w:rPr>
          <w:rFonts w:cs="Arial"/>
          <w:sz w:val="28"/>
          <w:szCs w:val="28"/>
          <w:lang w:eastAsia="en-GB"/>
        </w:rPr>
      </w:pPr>
    </w:p>
    <w:tbl>
      <w:tblPr>
        <w:tblW w:w="8740" w:type="dxa"/>
        <w:tblInd w:w="421" w:type="dxa"/>
        <w:tblLayout w:type="fixed"/>
        <w:tblCellMar>
          <w:left w:w="0" w:type="dxa"/>
          <w:right w:w="0" w:type="dxa"/>
        </w:tblCellMar>
        <w:tblLook w:val="04A0" w:firstRow="1" w:lastRow="0" w:firstColumn="1" w:lastColumn="0" w:noHBand="0" w:noVBand="1"/>
      </w:tblPr>
      <w:tblGrid>
        <w:gridCol w:w="1936"/>
        <w:gridCol w:w="1678"/>
        <w:gridCol w:w="1582"/>
        <w:gridCol w:w="1843"/>
        <w:gridCol w:w="1701"/>
      </w:tblGrid>
      <w:tr w:rsidR="00655DE3" w:rsidRPr="00EC0BD9" w14:paraId="4D052426" w14:textId="77777777" w:rsidTr="000C194C">
        <w:trPr>
          <w:trHeight w:val="969"/>
        </w:trPr>
        <w:tc>
          <w:tcPr>
            <w:tcW w:w="19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44D051C" w14:textId="77777777" w:rsidR="00655DE3" w:rsidRPr="001E6C29" w:rsidRDefault="00655DE3" w:rsidP="000C194C">
            <w:pPr>
              <w:ind w:left="720" w:hanging="720"/>
              <w:jc w:val="both"/>
              <w:rPr>
                <w:rFonts w:cs="Arial"/>
                <w:color w:val="000000"/>
                <w:szCs w:val="24"/>
                <w:lang w:eastAsia="en-GB"/>
              </w:rPr>
            </w:pPr>
            <w:r w:rsidRPr="001E6C29">
              <w:rPr>
                <w:rFonts w:cs="Arial"/>
                <w:color w:val="000000"/>
                <w:szCs w:val="24"/>
              </w:rPr>
              <w:t xml:space="preserve">Local Authority </w:t>
            </w:r>
          </w:p>
        </w:tc>
        <w:tc>
          <w:tcPr>
            <w:tcW w:w="16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9C9F5A9" w14:textId="77777777" w:rsidR="00655DE3" w:rsidRPr="001E6C29" w:rsidRDefault="00655DE3" w:rsidP="00F92F94">
            <w:pPr>
              <w:rPr>
                <w:rFonts w:cs="Arial"/>
                <w:color w:val="000000"/>
                <w:szCs w:val="24"/>
              </w:rPr>
            </w:pPr>
            <w:r w:rsidRPr="001E6C29">
              <w:rPr>
                <w:rFonts w:cs="Arial"/>
                <w:color w:val="000000"/>
                <w:szCs w:val="24"/>
              </w:rPr>
              <w:t>Total Funding Allocation (£)</w:t>
            </w:r>
          </w:p>
        </w:tc>
        <w:tc>
          <w:tcPr>
            <w:tcW w:w="15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3E24336" w14:textId="77777777" w:rsidR="00655DE3" w:rsidRPr="001E6C29" w:rsidRDefault="00655DE3" w:rsidP="00F92F94">
            <w:pPr>
              <w:jc w:val="both"/>
              <w:rPr>
                <w:rFonts w:cs="Arial"/>
                <w:color w:val="000000"/>
                <w:szCs w:val="24"/>
              </w:rPr>
            </w:pPr>
            <w:r w:rsidRPr="001E6C29">
              <w:rPr>
                <w:rFonts w:cs="Arial"/>
                <w:color w:val="000000"/>
                <w:szCs w:val="24"/>
              </w:rPr>
              <w:t>Funding Allocation 22-23 (£)</w:t>
            </w:r>
          </w:p>
        </w:tc>
        <w:tc>
          <w:tcPr>
            <w:tcW w:w="18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A396156" w14:textId="77777777" w:rsidR="00655DE3" w:rsidRPr="001E6C29" w:rsidRDefault="00655DE3" w:rsidP="00F92F94">
            <w:pPr>
              <w:jc w:val="both"/>
              <w:rPr>
                <w:rFonts w:cs="Arial"/>
                <w:color w:val="000000"/>
                <w:szCs w:val="24"/>
              </w:rPr>
            </w:pPr>
            <w:r w:rsidRPr="001E6C29">
              <w:rPr>
                <w:rFonts w:cs="Arial"/>
                <w:color w:val="000000"/>
                <w:szCs w:val="24"/>
              </w:rPr>
              <w:t xml:space="preserve">Funding Allocation </w:t>
            </w:r>
          </w:p>
          <w:p w14:paraId="7657D73D" w14:textId="77777777" w:rsidR="00655DE3" w:rsidRPr="001E6C29" w:rsidRDefault="00655DE3" w:rsidP="00F92F94">
            <w:pPr>
              <w:jc w:val="both"/>
              <w:rPr>
                <w:rFonts w:cs="Arial"/>
                <w:color w:val="000000"/>
                <w:szCs w:val="24"/>
              </w:rPr>
            </w:pPr>
            <w:r w:rsidRPr="001E6C29">
              <w:rPr>
                <w:rFonts w:cs="Arial"/>
                <w:color w:val="000000"/>
                <w:szCs w:val="24"/>
              </w:rPr>
              <w:t>23-24 (£)</w:t>
            </w:r>
          </w:p>
        </w:tc>
        <w:tc>
          <w:tcPr>
            <w:tcW w:w="17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2E92570" w14:textId="77777777" w:rsidR="00655DE3" w:rsidRPr="001E6C29" w:rsidRDefault="00655DE3" w:rsidP="00F92F94">
            <w:pPr>
              <w:jc w:val="both"/>
              <w:rPr>
                <w:rFonts w:cs="Arial"/>
                <w:color w:val="000000"/>
                <w:szCs w:val="24"/>
              </w:rPr>
            </w:pPr>
          </w:p>
          <w:p w14:paraId="654E1147" w14:textId="77777777" w:rsidR="00655DE3" w:rsidRPr="001E6C29" w:rsidRDefault="00655DE3" w:rsidP="00F92F94">
            <w:pPr>
              <w:jc w:val="both"/>
              <w:rPr>
                <w:rFonts w:cs="Arial"/>
                <w:color w:val="000000"/>
                <w:szCs w:val="24"/>
              </w:rPr>
            </w:pPr>
          </w:p>
          <w:p w14:paraId="7EF9B797" w14:textId="77777777" w:rsidR="00655DE3" w:rsidRPr="001E6C29" w:rsidRDefault="00655DE3" w:rsidP="00F92F94">
            <w:pPr>
              <w:jc w:val="both"/>
              <w:rPr>
                <w:rFonts w:cs="Arial"/>
                <w:color w:val="000000"/>
                <w:szCs w:val="24"/>
              </w:rPr>
            </w:pPr>
            <w:r w:rsidRPr="001E6C29">
              <w:rPr>
                <w:rFonts w:cs="Arial"/>
                <w:color w:val="000000"/>
                <w:szCs w:val="24"/>
              </w:rPr>
              <w:t>Funding Allocation 24-25 (£)</w:t>
            </w:r>
          </w:p>
        </w:tc>
      </w:tr>
      <w:tr w:rsidR="00655DE3" w:rsidRPr="00EC0BD9" w14:paraId="1511494D" w14:textId="77777777" w:rsidTr="00C8305A">
        <w:trPr>
          <w:trHeight w:val="290"/>
        </w:trPr>
        <w:tc>
          <w:tcPr>
            <w:tcW w:w="1936" w:type="dxa"/>
            <w:tcBorders>
              <w:top w:val="single" w:sz="4" w:space="0" w:color="auto"/>
              <w:left w:val="single" w:sz="4" w:space="0" w:color="auto"/>
              <w:bottom w:val="single" w:sz="4" w:space="0" w:color="auto"/>
              <w:right w:val="single" w:sz="4" w:space="0" w:color="auto"/>
            </w:tcBorders>
            <w:shd w:val="clear" w:color="auto" w:fill="FFFF00"/>
            <w:noWrap/>
            <w:tcMar>
              <w:top w:w="0" w:type="dxa"/>
              <w:left w:w="108" w:type="dxa"/>
              <w:bottom w:w="0" w:type="dxa"/>
              <w:right w:w="108" w:type="dxa"/>
            </w:tcMar>
            <w:vAlign w:val="bottom"/>
            <w:hideMark/>
          </w:tcPr>
          <w:p w14:paraId="5948AF3A" w14:textId="77777777" w:rsidR="00655DE3" w:rsidRPr="001E6C29" w:rsidRDefault="00655DE3" w:rsidP="00F92F94">
            <w:pPr>
              <w:rPr>
                <w:rFonts w:cs="Arial"/>
                <w:color w:val="000000"/>
                <w:szCs w:val="24"/>
              </w:rPr>
            </w:pPr>
            <w:r w:rsidRPr="001E6C29">
              <w:rPr>
                <w:rFonts w:cs="Arial"/>
                <w:color w:val="000000"/>
                <w:szCs w:val="24"/>
              </w:rPr>
              <w:t>Gloucestershire</w:t>
            </w:r>
          </w:p>
        </w:tc>
        <w:tc>
          <w:tcPr>
            <w:tcW w:w="1678" w:type="dxa"/>
            <w:tcBorders>
              <w:top w:val="single" w:sz="4" w:space="0" w:color="auto"/>
              <w:left w:val="single" w:sz="4" w:space="0" w:color="auto"/>
              <w:bottom w:val="single" w:sz="4" w:space="0" w:color="auto"/>
              <w:right w:val="single" w:sz="4" w:space="0" w:color="auto"/>
            </w:tcBorders>
            <w:shd w:val="clear" w:color="auto" w:fill="FFFF00"/>
            <w:noWrap/>
            <w:tcMar>
              <w:top w:w="0" w:type="dxa"/>
              <w:left w:w="108" w:type="dxa"/>
              <w:bottom w:w="0" w:type="dxa"/>
              <w:right w:w="108" w:type="dxa"/>
            </w:tcMar>
            <w:vAlign w:val="bottom"/>
            <w:hideMark/>
          </w:tcPr>
          <w:p w14:paraId="547733B6" w14:textId="22CF562A" w:rsidR="00655DE3" w:rsidRPr="001E6C29" w:rsidRDefault="00655DE3" w:rsidP="00F92F94">
            <w:pPr>
              <w:rPr>
                <w:rFonts w:cs="Arial"/>
                <w:color w:val="000000"/>
                <w:szCs w:val="24"/>
              </w:rPr>
            </w:pPr>
            <w:r w:rsidRPr="001E6C29">
              <w:rPr>
                <w:rFonts w:cs="Arial"/>
                <w:color w:val="000000"/>
                <w:szCs w:val="24"/>
              </w:rPr>
              <w:t>2,</w:t>
            </w:r>
            <w:r w:rsidR="009A2078">
              <w:rPr>
                <w:rFonts w:cs="Arial"/>
                <w:color w:val="000000"/>
                <w:szCs w:val="24"/>
              </w:rPr>
              <w:t>700,735.00</w:t>
            </w:r>
          </w:p>
        </w:tc>
        <w:tc>
          <w:tcPr>
            <w:tcW w:w="1582" w:type="dxa"/>
            <w:tcBorders>
              <w:top w:val="single" w:sz="4" w:space="0" w:color="auto"/>
              <w:left w:val="single" w:sz="4" w:space="0" w:color="auto"/>
              <w:bottom w:val="single" w:sz="4" w:space="0" w:color="auto"/>
              <w:right w:val="single" w:sz="4" w:space="0" w:color="auto"/>
            </w:tcBorders>
            <w:shd w:val="clear" w:color="auto" w:fill="92D050"/>
            <w:noWrap/>
            <w:tcMar>
              <w:top w:w="0" w:type="dxa"/>
              <w:left w:w="108" w:type="dxa"/>
              <w:bottom w:w="0" w:type="dxa"/>
              <w:right w:w="108" w:type="dxa"/>
            </w:tcMar>
            <w:vAlign w:val="bottom"/>
            <w:hideMark/>
          </w:tcPr>
          <w:p w14:paraId="7C07BFAE" w14:textId="32F4D561" w:rsidR="00655DE3" w:rsidRPr="009A2078" w:rsidRDefault="009A2078" w:rsidP="00F92F94">
            <w:pPr>
              <w:rPr>
                <w:rFonts w:cs="Arial"/>
                <w:color w:val="000000"/>
                <w:szCs w:val="24"/>
                <w:highlight w:val="green"/>
              </w:rPr>
            </w:pPr>
            <w:r w:rsidRPr="009A2078">
              <w:rPr>
                <w:rFonts w:cs="Arial"/>
                <w:color w:val="000000"/>
                <w:szCs w:val="24"/>
                <w:highlight w:val="green"/>
              </w:rPr>
              <w:t>822,166.00</w:t>
            </w:r>
          </w:p>
        </w:tc>
        <w:tc>
          <w:tcPr>
            <w:tcW w:w="1843" w:type="dxa"/>
            <w:tcBorders>
              <w:top w:val="single" w:sz="4" w:space="0" w:color="auto"/>
              <w:left w:val="single" w:sz="4" w:space="0" w:color="auto"/>
              <w:bottom w:val="single" w:sz="4" w:space="0" w:color="auto"/>
              <w:right w:val="single" w:sz="4" w:space="0" w:color="auto"/>
            </w:tcBorders>
            <w:shd w:val="clear" w:color="auto" w:fill="FFFF00"/>
            <w:noWrap/>
            <w:tcMar>
              <w:top w:w="0" w:type="dxa"/>
              <w:left w:w="108" w:type="dxa"/>
              <w:bottom w:w="0" w:type="dxa"/>
              <w:right w:w="108" w:type="dxa"/>
            </w:tcMar>
            <w:vAlign w:val="bottom"/>
            <w:hideMark/>
          </w:tcPr>
          <w:p w14:paraId="50516BFF" w14:textId="780758AB" w:rsidR="00655DE3" w:rsidRPr="001E6C29" w:rsidRDefault="009A2078" w:rsidP="00F92F94">
            <w:pPr>
              <w:rPr>
                <w:rFonts w:cs="Arial"/>
                <w:color w:val="000000"/>
                <w:szCs w:val="24"/>
              </w:rPr>
            </w:pPr>
            <w:r>
              <w:rPr>
                <w:rFonts w:cs="Arial"/>
                <w:color w:val="000000"/>
                <w:szCs w:val="24"/>
              </w:rPr>
              <w:t>927,668.00</w:t>
            </w:r>
          </w:p>
        </w:tc>
        <w:tc>
          <w:tcPr>
            <w:tcW w:w="1701" w:type="dxa"/>
            <w:tcBorders>
              <w:top w:val="single" w:sz="4" w:space="0" w:color="auto"/>
              <w:left w:val="single" w:sz="4" w:space="0" w:color="auto"/>
              <w:bottom w:val="single" w:sz="4" w:space="0" w:color="auto"/>
              <w:right w:val="single" w:sz="4" w:space="0" w:color="auto"/>
            </w:tcBorders>
            <w:shd w:val="clear" w:color="auto" w:fill="FFFF00"/>
            <w:noWrap/>
            <w:tcMar>
              <w:top w:w="0" w:type="dxa"/>
              <w:left w:w="108" w:type="dxa"/>
              <w:bottom w:w="0" w:type="dxa"/>
              <w:right w:w="108" w:type="dxa"/>
            </w:tcMar>
            <w:vAlign w:val="bottom"/>
            <w:hideMark/>
          </w:tcPr>
          <w:p w14:paraId="5EA90428" w14:textId="5DEBEA0F" w:rsidR="00655DE3" w:rsidRPr="001E6C29" w:rsidRDefault="009A2078" w:rsidP="00F92F94">
            <w:pPr>
              <w:rPr>
                <w:rFonts w:cs="Arial"/>
                <w:color w:val="000000"/>
                <w:szCs w:val="24"/>
              </w:rPr>
            </w:pPr>
            <w:r>
              <w:rPr>
                <w:rFonts w:cs="Arial"/>
                <w:color w:val="000000"/>
                <w:szCs w:val="24"/>
              </w:rPr>
              <w:t>950,901.00</w:t>
            </w:r>
          </w:p>
        </w:tc>
      </w:tr>
    </w:tbl>
    <w:p w14:paraId="5335CF7C" w14:textId="77777777" w:rsidR="00655DE3" w:rsidRDefault="00655DE3" w:rsidP="00655DE3">
      <w:pPr>
        <w:spacing w:before="120" w:after="120"/>
        <w:rPr>
          <w:rFonts w:cs="Arial"/>
          <w:szCs w:val="24"/>
        </w:rPr>
      </w:pPr>
    </w:p>
    <w:p w14:paraId="6CBF8334" w14:textId="67B533EA" w:rsidR="00C75104" w:rsidRDefault="000C194C" w:rsidP="00C75104">
      <w:pPr>
        <w:ind w:left="720"/>
        <w:rPr>
          <w:rFonts w:cs="Arial"/>
          <w:szCs w:val="24"/>
        </w:rPr>
      </w:pPr>
      <w:r>
        <w:rPr>
          <w:rFonts w:cs="Arial"/>
          <w:szCs w:val="24"/>
        </w:rPr>
        <w:t xml:space="preserve">The </w:t>
      </w:r>
      <w:r w:rsidR="00655DE3" w:rsidRPr="001A64FC">
        <w:rPr>
          <w:rFonts w:cs="Arial"/>
          <w:szCs w:val="24"/>
        </w:rPr>
        <w:t>Department for Education</w:t>
      </w:r>
      <w:r>
        <w:rPr>
          <w:rFonts w:cs="Arial"/>
          <w:szCs w:val="24"/>
        </w:rPr>
        <w:t xml:space="preserve"> has agreed the revenue funding for </w:t>
      </w:r>
      <w:r w:rsidR="009A2078">
        <w:rPr>
          <w:rFonts w:cs="Arial"/>
          <w:szCs w:val="24"/>
        </w:rPr>
        <w:t>Year 1 (2022-2023)</w:t>
      </w:r>
      <w:r>
        <w:rPr>
          <w:rFonts w:cs="Arial"/>
          <w:szCs w:val="24"/>
        </w:rPr>
        <w:t xml:space="preserve"> as per the chart above</w:t>
      </w:r>
      <w:r w:rsidR="009A2078">
        <w:rPr>
          <w:rFonts w:cs="Arial"/>
          <w:szCs w:val="24"/>
        </w:rPr>
        <w:t xml:space="preserve">. </w:t>
      </w:r>
      <w:r w:rsidR="009A2078" w:rsidRPr="009A2078">
        <w:rPr>
          <w:rFonts w:cs="Arial"/>
          <w:szCs w:val="24"/>
        </w:rPr>
        <w:t xml:space="preserve">Final versions of </w:t>
      </w:r>
      <w:r>
        <w:rPr>
          <w:rFonts w:cs="Arial"/>
          <w:szCs w:val="24"/>
        </w:rPr>
        <w:t>the offer</w:t>
      </w:r>
      <w:r w:rsidR="009A2078" w:rsidRPr="009A2078">
        <w:rPr>
          <w:rFonts w:cs="Arial"/>
          <w:szCs w:val="24"/>
        </w:rPr>
        <w:t xml:space="preserve"> will be formally issued using the ESFA payments system (MYESF) for electronic acceptance (in lieu of a signature) either on Friday 26th August or early the week following</w:t>
      </w:r>
      <w:r w:rsidR="009A76FF" w:rsidRPr="009A2078">
        <w:rPr>
          <w:rFonts w:cs="Arial"/>
          <w:szCs w:val="24"/>
        </w:rPr>
        <w:t>.</w:t>
      </w:r>
      <w:r w:rsidR="009A76FF">
        <w:rPr>
          <w:rFonts w:cs="Arial"/>
          <w:szCs w:val="24"/>
        </w:rPr>
        <w:t xml:space="preserve"> </w:t>
      </w:r>
      <w:r>
        <w:rPr>
          <w:rFonts w:cs="Arial"/>
          <w:szCs w:val="24"/>
        </w:rPr>
        <w:t xml:space="preserve">GCC </w:t>
      </w:r>
      <w:r w:rsidR="00C8305A">
        <w:rPr>
          <w:rFonts w:cs="Arial"/>
          <w:szCs w:val="24"/>
        </w:rPr>
        <w:t xml:space="preserve">must </w:t>
      </w:r>
      <w:r w:rsidR="00C8305A" w:rsidRPr="009A2078">
        <w:rPr>
          <w:rFonts w:cs="Arial"/>
          <w:szCs w:val="24"/>
        </w:rPr>
        <w:t>‘</w:t>
      </w:r>
      <w:r w:rsidR="009A2078" w:rsidRPr="009A2078">
        <w:rPr>
          <w:rFonts w:cs="Arial"/>
          <w:szCs w:val="24"/>
        </w:rPr>
        <w:t xml:space="preserve">accept’ the documentation in MYESF no later than 10pm on </w:t>
      </w:r>
      <w:r w:rsidR="00735E63">
        <w:rPr>
          <w:rFonts w:cs="Arial"/>
          <w:szCs w:val="24"/>
        </w:rPr>
        <w:t>Friday</w:t>
      </w:r>
      <w:r w:rsidR="009A2078" w:rsidRPr="009A2078">
        <w:rPr>
          <w:rFonts w:cs="Arial"/>
          <w:szCs w:val="24"/>
        </w:rPr>
        <w:t xml:space="preserve"> 2nd September</w:t>
      </w:r>
      <w:r w:rsidR="00E04004" w:rsidRPr="009A2078">
        <w:rPr>
          <w:rFonts w:cs="Arial"/>
          <w:szCs w:val="24"/>
        </w:rPr>
        <w:t xml:space="preserve">. </w:t>
      </w:r>
      <w:r w:rsidR="00E04004">
        <w:rPr>
          <w:rFonts w:cs="Arial"/>
          <w:szCs w:val="24"/>
        </w:rPr>
        <w:t xml:space="preserve">Multiply is a 3-year programme with each year of performance being reviewed annually and </w:t>
      </w:r>
      <w:r w:rsidR="00125E84">
        <w:rPr>
          <w:rFonts w:cs="Arial"/>
          <w:szCs w:val="24"/>
        </w:rPr>
        <w:t xml:space="preserve">funding </w:t>
      </w:r>
      <w:r w:rsidR="00E04004">
        <w:rPr>
          <w:rFonts w:cs="Arial"/>
          <w:szCs w:val="24"/>
        </w:rPr>
        <w:t xml:space="preserve">allocated at the start of the next financial year. 100% of the funding must be spent by the end of year 3 or it will be clawed back by the DfE. </w:t>
      </w:r>
      <w:r w:rsidR="00E04004" w:rsidRPr="00F24AF4">
        <w:rPr>
          <w:rFonts w:cs="Arial"/>
          <w:szCs w:val="24"/>
          <w:lang w:eastAsia="en-GB"/>
        </w:rPr>
        <w:t xml:space="preserve">Due to the restrictive time limit for 2022-23, it is recommended that external delivery of the programme is facilitated through a grants programme </w:t>
      </w:r>
      <w:r w:rsidR="00E04004" w:rsidRPr="00F24AF4">
        <w:rPr>
          <w:rFonts w:cs="Arial"/>
          <w:color w:val="000000"/>
          <w:szCs w:val="24"/>
        </w:rPr>
        <w:t>to ensure the maximum period of service provision.</w:t>
      </w:r>
    </w:p>
    <w:p w14:paraId="6BDBDB3D" w14:textId="77777777" w:rsidR="00C75104" w:rsidRDefault="00C75104" w:rsidP="00C75104">
      <w:pPr>
        <w:rPr>
          <w:rFonts w:cs="Arial"/>
          <w:szCs w:val="24"/>
        </w:rPr>
      </w:pPr>
    </w:p>
    <w:p w14:paraId="4FC4FEE1" w14:textId="2D78DD4C" w:rsidR="000C194C" w:rsidRPr="000C194C" w:rsidRDefault="00C544F1" w:rsidP="00C75104">
      <w:pPr>
        <w:ind w:left="720" w:hanging="720"/>
        <w:rPr>
          <w:rFonts w:cs="Arial"/>
          <w:szCs w:val="24"/>
        </w:rPr>
      </w:pPr>
      <w:r>
        <w:rPr>
          <w:rFonts w:cs="Arial"/>
          <w:szCs w:val="24"/>
        </w:rPr>
        <w:t>1</w:t>
      </w:r>
      <w:r w:rsidR="008103E5">
        <w:rPr>
          <w:rFonts w:cs="Arial"/>
          <w:szCs w:val="24"/>
        </w:rPr>
        <w:t>2</w:t>
      </w:r>
      <w:r w:rsidR="00C75104">
        <w:rPr>
          <w:rFonts w:cs="Arial"/>
          <w:szCs w:val="24"/>
        </w:rPr>
        <w:t>.</w:t>
      </w:r>
      <w:r w:rsidR="00C75104">
        <w:rPr>
          <w:rFonts w:cs="Arial"/>
          <w:szCs w:val="24"/>
        </w:rPr>
        <w:tab/>
      </w:r>
      <w:r w:rsidR="00655DE3" w:rsidRPr="000C194C">
        <w:rPr>
          <w:rFonts w:cs="Arial"/>
          <w:szCs w:val="24"/>
        </w:rPr>
        <w:t xml:space="preserve">Funding provided through </w:t>
      </w:r>
      <w:r w:rsidR="00730557" w:rsidRPr="000C194C">
        <w:rPr>
          <w:rFonts w:cs="Arial"/>
          <w:szCs w:val="24"/>
        </w:rPr>
        <w:t>M</w:t>
      </w:r>
      <w:r w:rsidR="00655DE3" w:rsidRPr="000C194C">
        <w:rPr>
          <w:rFonts w:cs="Arial"/>
          <w:szCs w:val="24"/>
        </w:rPr>
        <w:t>ultiply is in addition to existing funding streams available for adults to improve maths and numeracy skills, including through the Adult Education Budget in Englan</w:t>
      </w:r>
      <w:r w:rsidR="000C194C" w:rsidRPr="000C194C">
        <w:rPr>
          <w:rFonts w:cs="Arial"/>
          <w:szCs w:val="24"/>
        </w:rPr>
        <w:t>d</w:t>
      </w:r>
      <w:r w:rsidR="009A76FF" w:rsidRPr="000C194C">
        <w:rPr>
          <w:rFonts w:cs="Arial"/>
          <w:szCs w:val="24"/>
        </w:rPr>
        <w:t xml:space="preserve">. </w:t>
      </w:r>
    </w:p>
    <w:p w14:paraId="7B1DB3E5" w14:textId="77777777" w:rsidR="000C194C" w:rsidRDefault="000C194C" w:rsidP="000C194C">
      <w:pPr>
        <w:pStyle w:val="ListParagraph"/>
        <w:ind w:left="426"/>
        <w:rPr>
          <w:rFonts w:ascii="Arial" w:hAnsi="Arial" w:cs="Arial"/>
          <w:sz w:val="24"/>
          <w:szCs w:val="24"/>
        </w:rPr>
      </w:pPr>
    </w:p>
    <w:p w14:paraId="3533354F" w14:textId="1EAAF020" w:rsidR="00ED7647" w:rsidRDefault="00C544F1" w:rsidP="00ED7647">
      <w:pPr>
        <w:ind w:left="720" w:hanging="720"/>
        <w:rPr>
          <w:rFonts w:cs="Arial"/>
          <w:szCs w:val="24"/>
        </w:rPr>
      </w:pPr>
      <w:r>
        <w:rPr>
          <w:rFonts w:cs="Arial"/>
          <w:szCs w:val="24"/>
        </w:rPr>
        <w:t>1</w:t>
      </w:r>
      <w:r w:rsidR="008103E5">
        <w:rPr>
          <w:rFonts w:cs="Arial"/>
          <w:szCs w:val="24"/>
        </w:rPr>
        <w:t>3</w:t>
      </w:r>
      <w:r w:rsidR="000C194C">
        <w:rPr>
          <w:rFonts w:cs="Arial"/>
          <w:szCs w:val="24"/>
        </w:rPr>
        <w:t xml:space="preserve">. </w:t>
      </w:r>
      <w:r w:rsidR="00C75104">
        <w:rPr>
          <w:rFonts w:cs="Arial"/>
          <w:szCs w:val="24"/>
        </w:rPr>
        <w:tab/>
      </w:r>
      <w:r w:rsidR="00655DE3" w:rsidRPr="000C194C">
        <w:rPr>
          <w:rFonts w:cs="Arial"/>
          <w:szCs w:val="24"/>
        </w:rPr>
        <w:t>Additional staff will be required to deliver the programme and they will be appointed on fixed term contract</w:t>
      </w:r>
      <w:r w:rsidR="00DF70E4">
        <w:rPr>
          <w:rFonts w:cs="Arial"/>
          <w:szCs w:val="24"/>
        </w:rPr>
        <w:t>s</w:t>
      </w:r>
      <w:r w:rsidR="00655DE3" w:rsidRPr="000C194C">
        <w:rPr>
          <w:rFonts w:cs="Arial"/>
          <w:szCs w:val="24"/>
        </w:rPr>
        <w:t xml:space="preserve"> to match the programme delivery timetable and within the available funding received</w:t>
      </w:r>
      <w:r w:rsidR="00ED7647">
        <w:rPr>
          <w:rFonts w:cs="Arial"/>
          <w:szCs w:val="24"/>
        </w:rPr>
        <w:t>.</w:t>
      </w:r>
      <w:r w:rsidR="00DF70E4">
        <w:rPr>
          <w:rFonts w:cs="Arial"/>
          <w:szCs w:val="24"/>
        </w:rPr>
        <w:t xml:space="preserve"> </w:t>
      </w:r>
      <w:r w:rsidR="00F11CD4" w:rsidRPr="00F11CD4">
        <w:rPr>
          <w:rFonts w:cs="Arial"/>
          <w:szCs w:val="24"/>
        </w:rPr>
        <w:t xml:space="preserve">To ensure that no cost falls to the council </w:t>
      </w:r>
      <w:r w:rsidR="00F11CD4">
        <w:rPr>
          <w:rFonts w:cs="Arial"/>
          <w:szCs w:val="24"/>
        </w:rPr>
        <w:t>all associated staff costs for the programme have been factored into the investment plan that was submitted to and accepted by the DfE.</w:t>
      </w:r>
    </w:p>
    <w:p w14:paraId="10587AEF" w14:textId="2D70CF30" w:rsidR="00E934F3" w:rsidRDefault="00E934F3" w:rsidP="00ED7647">
      <w:pPr>
        <w:ind w:left="720" w:hanging="720"/>
        <w:rPr>
          <w:rFonts w:cs="Arial"/>
          <w:szCs w:val="24"/>
        </w:rPr>
      </w:pPr>
    </w:p>
    <w:p w14:paraId="6D823212" w14:textId="77777777" w:rsidR="00655DE3" w:rsidRDefault="00655DE3" w:rsidP="00655DE3">
      <w:pPr>
        <w:pStyle w:val="Header"/>
        <w:tabs>
          <w:tab w:val="clear" w:pos="4153"/>
          <w:tab w:val="clear" w:pos="8306"/>
        </w:tabs>
        <w:ind w:left="-720"/>
        <w:rPr>
          <w:rFonts w:ascii="Arial" w:hAnsi="Arial" w:cs="Arial"/>
          <w:b/>
          <w:bCs/>
          <w:szCs w:val="24"/>
        </w:rPr>
      </w:pPr>
    </w:p>
    <w:p w14:paraId="36C7D387" w14:textId="77777777" w:rsidR="00655DE3" w:rsidRDefault="00655DE3" w:rsidP="00655DE3">
      <w:pPr>
        <w:pStyle w:val="Header"/>
        <w:tabs>
          <w:tab w:val="clear" w:pos="4153"/>
          <w:tab w:val="clear" w:pos="8306"/>
        </w:tabs>
        <w:ind w:left="-720"/>
        <w:rPr>
          <w:rFonts w:ascii="Arial" w:hAnsi="Arial" w:cs="Arial"/>
          <w:szCs w:val="24"/>
          <w:lang w:eastAsia="en-GB"/>
        </w:rPr>
      </w:pPr>
      <w:r w:rsidRPr="0075743F">
        <w:rPr>
          <w:rFonts w:ascii="Arial" w:hAnsi="Arial" w:cs="Arial"/>
          <w:b/>
          <w:bCs/>
          <w:szCs w:val="24"/>
        </w:rPr>
        <w:t>Equality implications</w:t>
      </w:r>
      <w:r w:rsidRPr="00EF62A9">
        <w:rPr>
          <w:rFonts w:ascii="Arial" w:hAnsi="Arial" w:cs="Arial"/>
          <w:szCs w:val="24"/>
          <w:lang w:eastAsia="en-GB"/>
        </w:rPr>
        <w:t xml:space="preserve"> </w:t>
      </w:r>
    </w:p>
    <w:p w14:paraId="2B0AA69B" w14:textId="77777777" w:rsidR="00655DE3" w:rsidRDefault="00655DE3" w:rsidP="00655DE3">
      <w:pPr>
        <w:pStyle w:val="Header"/>
        <w:tabs>
          <w:tab w:val="clear" w:pos="4153"/>
          <w:tab w:val="clear" w:pos="8306"/>
        </w:tabs>
        <w:ind w:left="-720"/>
        <w:rPr>
          <w:rFonts w:ascii="Arial" w:hAnsi="Arial" w:cs="Arial"/>
          <w:szCs w:val="24"/>
          <w:lang w:eastAsia="en-GB"/>
        </w:rPr>
      </w:pPr>
    </w:p>
    <w:p w14:paraId="52A64380" w14:textId="654F74B4" w:rsidR="00655DE3" w:rsidRPr="00C75104" w:rsidRDefault="00F11CD4" w:rsidP="00C75104">
      <w:pPr>
        <w:autoSpaceDE w:val="0"/>
        <w:autoSpaceDN w:val="0"/>
        <w:adjustRightInd w:val="0"/>
        <w:rPr>
          <w:rFonts w:cs="Arial"/>
          <w:szCs w:val="24"/>
        </w:rPr>
      </w:pPr>
      <w:r>
        <w:rPr>
          <w:rFonts w:cs="Arial"/>
          <w:szCs w:val="24"/>
        </w:rPr>
        <w:t>1</w:t>
      </w:r>
      <w:r w:rsidR="00DF70E4">
        <w:rPr>
          <w:rFonts w:cs="Arial"/>
          <w:szCs w:val="24"/>
        </w:rPr>
        <w:t>4</w:t>
      </w:r>
      <w:r w:rsidR="00C75104">
        <w:rPr>
          <w:rFonts w:cs="Arial"/>
          <w:szCs w:val="24"/>
        </w:rPr>
        <w:t>.</w:t>
      </w:r>
      <w:r w:rsidR="00C75104">
        <w:rPr>
          <w:rFonts w:cs="Arial"/>
          <w:szCs w:val="24"/>
        </w:rPr>
        <w:tab/>
      </w:r>
      <w:r w:rsidR="00655DE3" w:rsidRPr="00C75104">
        <w:rPr>
          <w:rFonts w:cs="Arial"/>
          <w:szCs w:val="24"/>
        </w:rPr>
        <w:t>An Equalities Impact Assessment has been completed</w:t>
      </w:r>
      <w:r w:rsidR="00C75104">
        <w:rPr>
          <w:rFonts w:cs="Arial"/>
          <w:szCs w:val="24"/>
        </w:rPr>
        <w:t>.</w:t>
      </w:r>
    </w:p>
    <w:p w14:paraId="4F78725F" w14:textId="77777777" w:rsidR="00655DE3" w:rsidRPr="00E83A65" w:rsidRDefault="00655DE3" w:rsidP="00655DE3">
      <w:pPr>
        <w:autoSpaceDE w:val="0"/>
        <w:autoSpaceDN w:val="0"/>
        <w:adjustRightInd w:val="0"/>
        <w:ind w:left="426" w:hanging="426"/>
        <w:rPr>
          <w:rFonts w:cs="Arial"/>
          <w:szCs w:val="24"/>
          <w:lang w:eastAsia="en-GB"/>
        </w:rPr>
      </w:pPr>
    </w:p>
    <w:p w14:paraId="5AC87D6D" w14:textId="257A5ADA" w:rsidR="00655DE3" w:rsidRPr="00C75104" w:rsidRDefault="00F11CD4" w:rsidP="00C75104">
      <w:pPr>
        <w:autoSpaceDE w:val="0"/>
        <w:autoSpaceDN w:val="0"/>
        <w:adjustRightInd w:val="0"/>
        <w:ind w:left="720" w:hanging="720"/>
        <w:rPr>
          <w:rFonts w:cs="Arial"/>
          <w:szCs w:val="24"/>
        </w:rPr>
      </w:pPr>
      <w:bookmarkStart w:id="7" w:name="_Hlk103252051"/>
      <w:r>
        <w:rPr>
          <w:rFonts w:cs="Arial"/>
          <w:szCs w:val="24"/>
        </w:rPr>
        <w:t>1</w:t>
      </w:r>
      <w:r w:rsidR="00DF70E4">
        <w:rPr>
          <w:rFonts w:cs="Arial"/>
          <w:szCs w:val="24"/>
        </w:rPr>
        <w:t>5</w:t>
      </w:r>
      <w:r w:rsidR="00C75104">
        <w:rPr>
          <w:rFonts w:cs="Arial"/>
          <w:szCs w:val="24"/>
        </w:rPr>
        <w:t>.</w:t>
      </w:r>
      <w:r w:rsidR="00C75104">
        <w:rPr>
          <w:rFonts w:cs="Arial"/>
          <w:szCs w:val="24"/>
        </w:rPr>
        <w:tab/>
      </w:r>
      <w:r w:rsidR="00655DE3" w:rsidRPr="00C75104">
        <w:rPr>
          <w:rFonts w:cs="Arial"/>
          <w:szCs w:val="24"/>
        </w:rPr>
        <w:t xml:space="preserve">Cabinet Members should read and consider the Equalities Impact Assessment and </w:t>
      </w:r>
      <w:bookmarkStart w:id="8" w:name="_Hlk104211860"/>
      <w:r w:rsidR="00655DE3" w:rsidRPr="00C75104">
        <w:rPr>
          <w:rFonts w:cs="Arial"/>
          <w:szCs w:val="24"/>
        </w:rPr>
        <w:t xml:space="preserve">Due Regard Statement </w:t>
      </w:r>
      <w:bookmarkEnd w:id="8"/>
      <w:r w:rsidR="00655DE3" w:rsidRPr="00C75104">
        <w:rPr>
          <w:rFonts w:cs="Arial"/>
          <w:szCs w:val="24"/>
        </w:rPr>
        <w:t>to satisfy them as decision makers that due regard has been given.</w:t>
      </w:r>
    </w:p>
    <w:bookmarkEnd w:id="7"/>
    <w:p w14:paraId="5880B369" w14:textId="77777777" w:rsidR="00655DE3" w:rsidRPr="00E83A65" w:rsidRDefault="00655DE3" w:rsidP="00655DE3">
      <w:pPr>
        <w:pStyle w:val="Header"/>
        <w:ind w:left="426" w:hanging="426"/>
        <w:rPr>
          <w:rFonts w:ascii="Arial" w:hAnsi="Arial" w:cs="Arial"/>
          <w:szCs w:val="24"/>
          <w:lang w:eastAsia="en-GB"/>
        </w:rPr>
      </w:pPr>
    </w:p>
    <w:p w14:paraId="41EBD573" w14:textId="54D50FAB" w:rsidR="00655DE3" w:rsidRDefault="00655DE3" w:rsidP="00655DE3">
      <w:pPr>
        <w:pStyle w:val="Header"/>
        <w:ind w:left="426" w:hanging="426"/>
        <w:rPr>
          <w:rFonts w:ascii="Arial" w:hAnsi="Arial" w:cs="Arial"/>
          <w:b/>
          <w:szCs w:val="24"/>
        </w:rPr>
      </w:pPr>
      <w:r w:rsidRPr="0075743F">
        <w:rPr>
          <w:rFonts w:ascii="Arial" w:hAnsi="Arial" w:cs="Arial"/>
          <w:b/>
          <w:szCs w:val="24"/>
        </w:rPr>
        <w:t xml:space="preserve">Data Protection </w:t>
      </w:r>
      <w:r w:rsidRPr="00EF62A9">
        <w:rPr>
          <w:rFonts w:ascii="Arial" w:hAnsi="Arial" w:cs="Arial"/>
          <w:b/>
          <w:szCs w:val="24"/>
        </w:rPr>
        <w:t xml:space="preserve">Impact </w:t>
      </w:r>
      <w:r w:rsidRPr="0075743F">
        <w:rPr>
          <w:rFonts w:ascii="Arial" w:hAnsi="Arial" w:cs="Arial"/>
          <w:b/>
          <w:szCs w:val="24"/>
        </w:rPr>
        <w:t>Assessment (DPIA) implication</w:t>
      </w:r>
      <w:r w:rsidR="00380941">
        <w:rPr>
          <w:rFonts w:ascii="Arial" w:hAnsi="Arial" w:cs="Arial"/>
          <w:b/>
          <w:szCs w:val="24"/>
        </w:rPr>
        <w:t>s</w:t>
      </w:r>
    </w:p>
    <w:p w14:paraId="0CC6F7AE" w14:textId="77777777" w:rsidR="00380941" w:rsidRPr="00EF62A9" w:rsidRDefault="00380941" w:rsidP="00655DE3">
      <w:pPr>
        <w:pStyle w:val="Header"/>
        <w:ind w:left="426" w:hanging="426"/>
        <w:rPr>
          <w:rFonts w:ascii="Arial" w:hAnsi="Arial" w:cs="Arial"/>
          <w:b/>
          <w:szCs w:val="24"/>
        </w:rPr>
      </w:pPr>
    </w:p>
    <w:p w14:paraId="0F687EC9" w14:textId="223D1870" w:rsidR="00655DE3" w:rsidRDefault="00F11CD4" w:rsidP="00C75104">
      <w:pPr>
        <w:pStyle w:val="Header"/>
        <w:tabs>
          <w:tab w:val="clear" w:pos="4153"/>
          <w:tab w:val="clear" w:pos="8306"/>
        </w:tabs>
        <w:ind w:left="720" w:hanging="720"/>
        <w:rPr>
          <w:rFonts w:ascii="Arial" w:hAnsi="Arial" w:cs="Arial"/>
          <w:bCs/>
          <w:szCs w:val="24"/>
        </w:rPr>
      </w:pPr>
      <w:r>
        <w:rPr>
          <w:rFonts w:ascii="Arial" w:hAnsi="Arial" w:cs="Arial"/>
          <w:bCs/>
          <w:szCs w:val="24"/>
        </w:rPr>
        <w:t>1</w:t>
      </w:r>
      <w:r w:rsidR="00DF70E4">
        <w:rPr>
          <w:rFonts w:ascii="Arial" w:hAnsi="Arial" w:cs="Arial"/>
          <w:bCs/>
          <w:szCs w:val="24"/>
        </w:rPr>
        <w:t>6</w:t>
      </w:r>
      <w:r w:rsidR="00C75104">
        <w:rPr>
          <w:rFonts w:ascii="Arial" w:hAnsi="Arial" w:cs="Arial"/>
          <w:bCs/>
          <w:szCs w:val="24"/>
        </w:rPr>
        <w:t>.</w:t>
      </w:r>
      <w:r w:rsidR="00C75104">
        <w:rPr>
          <w:rFonts w:ascii="Arial" w:hAnsi="Arial" w:cs="Arial"/>
          <w:bCs/>
          <w:szCs w:val="24"/>
        </w:rPr>
        <w:tab/>
      </w:r>
      <w:r w:rsidR="00655DE3" w:rsidRPr="00E83A65">
        <w:rPr>
          <w:rFonts w:ascii="Arial" w:hAnsi="Arial" w:cs="Arial"/>
          <w:bCs/>
          <w:szCs w:val="24"/>
        </w:rPr>
        <w:t xml:space="preserve">Multiply </w:t>
      </w:r>
      <w:r w:rsidR="00655DE3">
        <w:rPr>
          <w:rFonts w:ascii="Arial" w:hAnsi="Arial" w:cs="Arial"/>
          <w:bCs/>
          <w:szCs w:val="24"/>
        </w:rPr>
        <w:t xml:space="preserve">programme </w:t>
      </w:r>
      <w:r w:rsidR="00655DE3" w:rsidRPr="00E83A65">
        <w:rPr>
          <w:rFonts w:ascii="Arial" w:hAnsi="Arial" w:cs="Arial"/>
          <w:bCs/>
          <w:szCs w:val="24"/>
        </w:rPr>
        <w:t xml:space="preserve">data will be collated </w:t>
      </w:r>
      <w:r w:rsidR="00655DE3">
        <w:rPr>
          <w:rFonts w:ascii="Arial" w:hAnsi="Arial" w:cs="Arial"/>
          <w:bCs/>
          <w:szCs w:val="24"/>
        </w:rPr>
        <w:t>in accordance with the UKSPF/Multiply guidelines, which will be set out upon award of the contract</w:t>
      </w:r>
      <w:r w:rsidR="009A76FF" w:rsidRPr="00E83A65">
        <w:rPr>
          <w:rFonts w:ascii="Arial" w:hAnsi="Arial" w:cs="Arial"/>
          <w:bCs/>
          <w:szCs w:val="24"/>
        </w:rPr>
        <w:t xml:space="preserve">. </w:t>
      </w:r>
      <w:r w:rsidR="00655DE3" w:rsidRPr="00E83A65">
        <w:rPr>
          <w:rFonts w:ascii="Arial" w:hAnsi="Arial" w:cs="Arial"/>
          <w:bCs/>
          <w:szCs w:val="24"/>
        </w:rPr>
        <w:t>All partnerships will be set up for Adult Education to process all Multiply</w:t>
      </w:r>
      <w:r w:rsidR="00655DE3">
        <w:rPr>
          <w:rFonts w:ascii="Arial" w:hAnsi="Arial" w:cs="Arial"/>
          <w:bCs/>
          <w:szCs w:val="24"/>
        </w:rPr>
        <w:t xml:space="preserve"> programme</w:t>
      </w:r>
      <w:r w:rsidR="00655DE3" w:rsidRPr="00E83A65">
        <w:rPr>
          <w:rFonts w:ascii="Arial" w:hAnsi="Arial" w:cs="Arial"/>
          <w:bCs/>
          <w:szCs w:val="24"/>
        </w:rPr>
        <w:t xml:space="preserve"> data in accordance with the GCC partnership agreements and GDPR regulations.</w:t>
      </w:r>
    </w:p>
    <w:p w14:paraId="36D4AEFA" w14:textId="77777777" w:rsidR="00655DE3" w:rsidRPr="00E83A65" w:rsidRDefault="00655DE3" w:rsidP="00655DE3">
      <w:pPr>
        <w:pStyle w:val="Header"/>
        <w:ind w:left="426" w:hanging="426"/>
        <w:rPr>
          <w:rFonts w:ascii="Arial" w:hAnsi="Arial" w:cs="Arial"/>
          <w:bCs/>
          <w:szCs w:val="24"/>
        </w:rPr>
      </w:pPr>
    </w:p>
    <w:p w14:paraId="4246ECB1" w14:textId="3BE389C8" w:rsidR="00C75104" w:rsidRDefault="00F11CD4" w:rsidP="00C75104">
      <w:pPr>
        <w:autoSpaceDE w:val="0"/>
        <w:autoSpaceDN w:val="0"/>
        <w:adjustRightInd w:val="0"/>
        <w:ind w:left="720" w:hanging="720"/>
        <w:rPr>
          <w:rFonts w:cs="Arial"/>
          <w:szCs w:val="24"/>
        </w:rPr>
      </w:pPr>
      <w:r>
        <w:rPr>
          <w:rFonts w:cs="Arial"/>
          <w:szCs w:val="24"/>
        </w:rPr>
        <w:t>1</w:t>
      </w:r>
      <w:r w:rsidR="00DF70E4">
        <w:rPr>
          <w:rFonts w:cs="Arial"/>
          <w:szCs w:val="24"/>
        </w:rPr>
        <w:t>7</w:t>
      </w:r>
      <w:r w:rsidR="00C75104">
        <w:rPr>
          <w:rFonts w:cs="Arial"/>
          <w:szCs w:val="24"/>
        </w:rPr>
        <w:t>.</w:t>
      </w:r>
      <w:r w:rsidR="00C75104">
        <w:rPr>
          <w:rFonts w:cs="Arial"/>
          <w:szCs w:val="24"/>
        </w:rPr>
        <w:tab/>
      </w:r>
      <w:r w:rsidR="00730557" w:rsidRPr="00C75104">
        <w:rPr>
          <w:rFonts w:cs="Arial"/>
          <w:szCs w:val="24"/>
        </w:rPr>
        <w:t xml:space="preserve">A </w:t>
      </w:r>
      <w:r w:rsidR="00655DE3" w:rsidRPr="00C75104">
        <w:rPr>
          <w:rFonts w:cs="Arial"/>
          <w:szCs w:val="24"/>
        </w:rPr>
        <w:t xml:space="preserve">DPIA </w:t>
      </w:r>
      <w:r w:rsidR="00C75104">
        <w:rPr>
          <w:rFonts w:cs="Arial"/>
          <w:szCs w:val="24"/>
        </w:rPr>
        <w:t>is currently being</w:t>
      </w:r>
      <w:r w:rsidR="00655DE3" w:rsidRPr="00C75104">
        <w:rPr>
          <w:rFonts w:cs="Arial"/>
          <w:szCs w:val="24"/>
        </w:rPr>
        <w:t xml:space="preserve"> completed </w:t>
      </w:r>
      <w:r w:rsidR="00C75104">
        <w:rPr>
          <w:rFonts w:cs="Arial"/>
          <w:szCs w:val="24"/>
        </w:rPr>
        <w:t>in line with the requirements of the Multiply contract and the DfE data requirements</w:t>
      </w:r>
      <w:r w:rsidR="009A76FF">
        <w:rPr>
          <w:rFonts w:cs="Arial"/>
          <w:szCs w:val="24"/>
        </w:rPr>
        <w:t xml:space="preserve">. </w:t>
      </w:r>
    </w:p>
    <w:p w14:paraId="48077FB8" w14:textId="77777777" w:rsidR="00C75104" w:rsidRDefault="00C75104" w:rsidP="00C75104">
      <w:pPr>
        <w:autoSpaceDE w:val="0"/>
        <w:autoSpaceDN w:val="0"/>
        <w:adjustRightInd w:val="0"/>
        <w:rPr>
          <w:rFonts w:cs="Arial"/>
          <w:szCs w:val="24"/>
        </w:rPr>
      </w:pPr>
    </w:p>
    <w:p w14:paraId="01926AEA" w14:textId="0C4424B8" w:rsidR="00655DE3" w:rsidRPr="00C75104" w:rsidRDefault="00F11CD4" w:rsidP="00C75104">
      <w:pPr>
        <w:autoSpaceDE w:val="0"/>
        <w:autoSpaceDN w:val="0"/>
        <w:adjustRightInd w:val="0"/>
        <w:ind w:left="720" w:hanging="720"/>
        <w:rPr>
          <w:rFonts w:cs="Arial"/>
          <w:szCs w:val="24"/>
        </w:rPr>
      </w:pPr>
      <w:r>
        <w:rPr>
          <w:rFonts w:cs="Arial"/>
          <w:szCs w:val="24"/>
        </w:rPr>
        <w:t>1</w:t>
      </w:r>
      <w:r w:rsidR="00DF70E4">
        <w:rPr>
          <w:rFonts w:cs="Arial"/>
          <w:szCs w:val="24"/>
        </w:rPr>
        <w:t>8</w:t>
      </w:r>
      <w:r w:rsidR="00C75104">
        <w:rPr>
          <w:rFonts w:cs="Arial"/>
          <w:szCs w:val="24"/>
        </w:rPr>
        <w:t>.</w:t>
      </w:r>
      <w:r w:rsidR="00C75104">
        <w:rPr>
          <w:rFonts w:cs="Arial"/>
          <w:szCs w:val="24"/>
        </w:rPr>
        <w:tab/>
      </w:r>
      <w:r w:rsidR="00655DE3" w:rsidRPr="00E83A65">
        <w:rPr>
          <w:rFonts w:cs="Arial"/>
          <w:bCs/>
          <w:szCs w:val="24"/>
        </w:rPr>
        <w:t xml:space="preserve">All Adult Education staff will be fully trained, and will be required to ensure that GDPR, GCC and </w:t>
      </w:r>
      <w:r w:rsidR="00655DE3">
        <w:rPr>
          <w:rFonts w:cs="Arial"/>
          <w:bCs/>
          <w:szCs w:val="24"/>
        </w:rPr>
        <w:t>UKSPF and Multiply programme contract</w:t>
      </w:r>
      <w:r w:rsidR="00655DE3" w:rsidRPr="00E83A65">
        <w:rPr>
          <w:rFonts w:cs="Arial"/>
          <w:bCs/>
          <w:szCs w:val="24"/>
        </w:rPr>
        <w:t xml:space="preserve"> guidance is followed to minimise risk and adhere to </w:t>
      </w:r>
      <w:r w:rsidR="00730557">
        <w:rPr>
          <w:rFonts w:cs="Arial"/>
          <w:bCs/>
          <w:szCs w:val="24"/>
        </w:rPr>
        <w:t xml:space="preserve">all </w:t>
      </w:r>
      <w:r w:rsidR="00655DE3" w:rsidRPr="00E83A65">
        <w:rPr>
          <w:rFonts w:cs="Arial"/>
          <w:bCs/>
          <w:szCs w:val="24"/>
        </w:rPr>
        <w:t>legal requirements around the protection of data</w:t>
      </w:r>
      <w:r w:rsidR="009A76FF">
        <w:rPr>
          <w:rFonts w:cs="Arial"/>
          <w:bCs/>
          <w:szCs w:val="24"/>
        </w:rPr>
        <w:t xml:space="preserve">. </w:t>
      </w:r>
    </w:p>
    <w:p w14:paraId="691C4A14" w14:textId="77777777" w:rsidR="00655DE3" w:rsidRDefault="00655DE3" w:rsidP="00655DE3">
      <w:pPr>
        <w:pStyle w:val="Header"/>
        <w:ind w:left="426" w:hanging="426"/>
        <w:rPr>
          <w:rFonts w:ascii="Arial" w:hAnsi="Arial" w:cs="Arial"/>
          <w:bCs/>
          <w:szCs w:val="24"/>
        </w:rPr>
      </w:pPr>
    </w:p>
    <w:p w14:paraId="05919F04" w14:textId="1FCA7815" w:rsidR="00C75104" w:rsidRDefault="00655DE3" w:rsidP="00655DE3">
      <w:pPr>
        <w:pStyle w:val="Header"/>
        <w:ind w:left="426" w:hanging="426"/>
        <w:jc w:val="both"/>
        <w:rPr>
          <w:rFonts w:ascii="Arial" w:hAnsi="Arial" w:cs="Arial"/>
          <w:b/>
          <w:szCs w:val="24"/>
        </w:rPr>
      </w:pPr>
      <w:r w:rsidRPr="0075743F">
        <w:rPr>
          <w:rFonts w:ascii="Arial" w:hAnsi="Arial" w:cs="Arial"/>
          <w:b/>
          <w:szCs w:val="24"/>
        </w:rPr>
        <w:t>Social value implication</w:t>
      </w:r>
      <w:r w:rsidR="00C75104">
        <w:rPr>
          <w:rFonts w:ascii="Arial" w:hAnsi="Arial" w:cs="Arial"/>
          <w:b/>
          <w:szCs w:val="24"/>
        </w:rPr>
        <w:t>s</w:t>
      </w:r>
    </w:p>
    <w:p w14:paraId="356D7C0C" w14:textId="77777777" w:rsidR="00C75104" w:rsidRPr="00EF62A9" w:rsidRDefault="00C75104" w:rsidP="00655DE3">
      <w:pPr>
        <w:pStyle w:val="Header"/>
        <w:ind w:left="426" w:hanging="426"/>
        <w:jc w:val="both"/>
        <w:rPr>
          <w:rFonts w:ascii="Arial" w:hAnsi="Arial" w:cs="Arial"/>
          <w:b/>
          <w:szCs w:val="24"/>
        </w:rPr>
      </w:pPr>
    </w:p>
    <w:p w14:paraId="0306521F" w14:textId="79559BFE" w:rsidR="00655DE3" w:rsidRPr="00C75104" w:rsidRDefault="00DF70E4" w:rsidP="00C75104">
      <w:pPr>
        <w:autoSpaceDE w:val="0"/>
        <w:autoSpaceDN w:val="0"/>
        <w:adjustRightInd w:val="0"/>
        <w:ind w:left="720" w:hanging="720"/>
        <w:rPr>
          <w:rFonts w:cs="Arial"/>
          <w:color w:val="231F20"/>
          <w:szCs w:val="28"/>
        </w:rPr>
      </w:pPr>
      <w:r>
        <w:rPr>
          <w:rFonts w:cs="Arial"/>
          <w:color w:val="000000"/>
          <w:szCs w:val="28"/>
        </w:rPr>
        <w:t>19</w:t>
      </w:r>
      <w:r w:rsidR="00C75104">
        <w:rPr>
          <w:rFonts w:cs="Arial"/>
          <w:color w:val="000000"/>
          <w:szCs w:val="28"/>
        </w:rPr>
        <w:t>.</w:t>
      </w:r>
      <w:r w:rsidR="00C75104">
        <w:rPr>
          <w:rFonts w:cs="Arial"/>
          <w:color w:val="000000"/>
          <w:szCs w:val="28"/>
        </w:rPr>
        <w:tab/>
      </w:r>
      <w:r w:rsidR="00655DE3" w:rsidRPr="00C75104">
        <w:rPr>
          <w:rFonts w:cs="Arial"/>
          <w:color w:val="000000"/>
          <w:szCs w:val="28"/>
        </w:rPr>
        <w:t xml:space="preserve">Adult Education has been an integral part of life for Gloucestershire for many years located in people’s homes, schools, community centres, libraries and even churches when no other space has been available. </w:t>
      </w:r>
      <w:r w:rsidR="00655DE3" w:rsidRPr="00C75104">
        <w:rPr>
          <w:rFonts w:cs="Arial"/>
          <w:color w:val="231F20"/>
          <w:szCs w:val="28"/>
        </w:rPr>
        <w:t xml:space="preserve">It reflects </w:t>
      </w:r>
      <w:r w:rsidR="009A76FF" w:rsidRPr="00C75104">
        <w:rPr>
          <w:rFonts w:cs="Arial"/>
          <w:color w:val="231F20"/>
          <w:szCs w:val="28"/>
        </w:rPr>
        <w:t>a keen sense</w:t>
      </w:r>
      <w:r w:rsidR="00655DE3" w:rsidRPr="00C75104">
        <w:rPr>
          <w:rFonts w:cs="Arial"/>
          <w:color w:val="231F20"/>
          <w:szCs w:val="28"/>
        </w:rPr>
        <w:t xml:space="preserve"> of local ownership of the learning process, tremendous pride in the educational achievements of people from the local community and increasingly a determination to defend a form of learning which flourishes outside of the formal education sector.</w:t>
      </w:r>
    </w:p>
    <w:p w14:paraId="248928BC" w14:textId="77777777" w:rsidR="00655DE3" w:rsidRPr="00E83A65" w:rsidRDefault="00655DE3" w:rsidP="00655DE3">
      <w:pPr>
        <w:autoSpaceDE w:val="0"/>
        <w:autoSpaceDN w:val="0"/>
        <w:adjustRightInd w:val="0"/>
        <w:ind w:left="426" w:hanging="426"/>
        <w:rPr>
          <w:rFonts w:cs="Arial"/>
          <w:szCs w:val="24"/>
          <w:lang w:eastAsia="en-GB"/>
        </w:rPr>
      </w:pPr>
    </w:p>
    <w:p w14:paraId="3CEC73FD" w14:textId="18149628" w:rsidR="00655DE3" w:rsidRPr="00C75104" w:rsidRDefault="00DF70E4" w:rsidP="00C75104">
      <w:pPr>
        <w:autoSpaceDE w:val="0"/>
        <w:autoSpaceDN w:val="0"/>
        <w:adjustRightInd w:val="0"/>
        <w:ind w:left="720" w:hanging="720"/>
        <w:rPr>
          <w:rFonts w:cs="Arial"/>
          <w:szCs w:val="24"/>
        </w:rPr>
      </w:pPr>
      <w:r>
        <w:rPr>
          <w:rFonts w:cs="Arial"/>
          <w:szCs w:val="24"/>
        </w:rPr>
        <w:t>20</w:t>
      </w:r>
      <w:r w:rsidR="00C75104">
        <w:rPr>
          <w:rFonts w:cs="Arial"/>
          <w:szCs w:val="24"/>
        </w:rPr>
        <w:t>.</w:t>
      </w:r>
      <w:r w:rsidR="00C75104">
        <w:rPr>
          <w:rFonts w:cs="Arial"/>
          <w:szCs w:val="24"/>
        </w:rPr>
        <w:tab/>
      </w:r>
      <w:r w:rsidR="00655DE3" w:rsidRPr="00C75104">
        <w:rPr>
          <w:rFonts w:cs="Arial"/>
          <w:szCs w:val="24"/>
        </w:rPr>
        <w:t>It is known that numeracy is universally important for individuals’ life chances, and for the United Kingdom’s economy. People who improve their numeracy skills are more likely to be in employment, have higher wages, and better wellbeing. Improved numeracy also matters to businesses right across the country – small and big – by helping boost productivity and improve employee retention.</w:t>
      </w:r>
    </w:p>
    <w:p w14:paraId="562A8A86" w14:textId="77777777" w:rsidR="00655DE3" w:rsidRPr="00D64735" w:rsidRDefault="00655DE3" w:rsidP="00655DE3">
      <w:pPr>
        <w:pStyle w:val="Header"/>
        <w:ind w:left="426" w:hanging="426"/>
        <w:rPr>
          <w:rFonts w:ascii="Arial" w:hAnsi="Arial" w:cs="Arial"/>
          <w:bCs/>
          <w:szCs w:val="24"/>
        </w:rPr>
      </w:pPr>
    </w:p>
    <w:p w14:paraId="391119D0" w14:textId="371206C6" w:rsidR="00655DE3" w:rsidRDefault="00655DE3" w:rsidP="00655DE3">
      <w:pPr>
        <w:pStyle w:val="Header"/>
        <w:ind w:left="426" w:hanging="426"/>
        <w:rPr>
          <w:rFonts w:ascii="Arial" w:hAnsi="Arial" w:cs="Arial"/>
          <w:b/>
          <w:szCs w:val="24"/>
        </w:rPr>
      </w:pPr>
      <w:r w:rsidRPr="0075743F">
        <w:rPr>
          <w:rFonts w:ascii="Arial" w:hAnsi="Arial" w:cs="Arial"/>
          <w:b/>
          <w:szCs w:val="24"/>
        </w:rPr>
        <w:t>Consultation feedbac</w:t>
      </w:r>
      <w:r w:rsidR="00C8305A">
        <w:rPr>
          <w:rFonts w:ascii="Arial" w:hAnsi="Arial" w:cs="Arial"/>
          <w:b/>
          <w:szCs w:val="24"/>
        </w:rPr>
        <w:t>k</w:t>
      </w:r>
    </w:p>
    <w:p w14:paraId="6017FFF3" w14:textId="77777777" w:rsidR="00655DE3" w:rsidRPr="00EF62A9" w:rsidRDefault="00655DE3" w:rsidP="00655DE3">
      <w:pPr>
        <w:pStyle w:val="Header"/>
        <w:ind w:left="426" w:hanging="426"/>
        <w:rPr>
          <w:rFonts w:ascii="Arial" w:hAnsi="Arial" w:cs="Arial"/>
          <w:b/>
          <w:szCs w:val="24"/>
        </w:rPr>
      </w:pPr>
    </w:p>
    <w:p w14:paraId="13C300BF" w14:textId="30DD0E8B" w:rsidR="00655DE3" w:rsidRDefault="00DF70E4" w:rsidP="00C75104">
      <w:pPr>
        <w:autoSpaceDE w:val="0"/>
        <w:autoSpaceDN w:val="0"/>
        <w:adjustRightInd w:val="0"/>
        <w:ind w:left="720" w:hanging="720"/>
        <w:rPr>
          <w:rFonts w:cs="Arial"/>
          <w:szCs w:val="24"/>
        </w:rPr>
      </w:pPr>
      <w:r>
        <w:rPr>
          <w:rFonts w:cs="Arial"/>
          <w:szCs w:val="24"/>
        </w:rPr>
        <w:t>21</w:t>
      </w:r>
      <w:r w:rsidR="00C75104">
        <w:rPr>
          <w:rFonts w:cs="Arial"/>
          <w:szCs w:val="24"/>
        </w:rPr>
        <w:t>.</w:t>
      </w:r>
      <w:r w:rsidR="00C75104">
        <w:rPr>
          <w:rFonts w:cs="Arial"/>
          <w:szCs w:val="24"/>
        </w:rPr>
        <w:tab/>
      </w:r>
      <w:r w:rsidR="00655DE3" w:rsidRPr="00C75104">
        <w:rPr>
          <w:rFonts w:cs="Arial"/>
          <w:szCs w:val="24"/>
        </w:rPr>
        <w:t>The Multiply programme lead has</w:t>
      </w:r>
      <w:r w:rsidR="00655DE3" w:rsidRPr="00C75104">
        <w:rPr>
          <w:rFonts w:cs="Arial"/>
          <w:b/>
          <w:bCs/>
          <w:szCs w:val="24"/>
        </w:rPr>
        <w:t xml:space="preserve"> </w:t>
      </w:r>
      <w:r w:rsidR="00655DE3" w:rsidRPr="00C75104">
        <w:rPr>
          <w:rFonts w:cs="Arial"/>
          <w:szCs w:val="24"/>
        </w:rPr>
        <w:t xml:space="preserve">consulted </w:t>
      </w:r>
      <w:r w:rsidR="00527B0C" w:rsidRPr="00C75104">
        <w:rPr>
          <w:rFonts w:cs="Arial"/>
          <w:szCs w:val="24"/>
        </w:rPr>
        <w:t xml:space="preserve">both </w:t>
      </w:r>
      <w:r w:rsidR="00655DE3" w:rsidRPr="00C75104">
        <w:rPr>
          <w:rFonts w:cs="Arial"/>
          <w:szCs w:val="24"/>
        </w:rPr>
        <w:t>current and potential partners and key stakeholders about the proposed programme</w:t>
      </w:r>
      <w:r w:rsidR="00527B0C" w:rsidRPr="00C75104">
        <w:rPr>
          <w:rFonts w:cs="Arial"/>
          <w:szCs w:val="24"/>
        </w:rPr>
        <w:t>’s</w:t>
      </w:r>
      <w:r w:rsidR="00655DE3" w:rsidRPr="00C75104">
        <w:rPr>
          <w:rFonts w:cs="Arial"/>
          <w:szCs w:val="24"/>
        </w:rPr>
        <w:t xml:space="preserve"> content and delivery and has issued an expression of interest </w:t>
      </w:r>
      <w:r w:rsidR="00A000FA">
        <w:rPr>
          <w:rFonts w:cs="Arial"/>
          <w:szCs w:val="24"/>
        </w:rPr>
        <w:t>to all organisations which might be associated with this sort of initiative</w:t>
      </w:r>
      <w:r w:rsidR="00655DE3" w:rsidRPr="00C75104">
        <w:rPr>
          <w:rFonts w:cs="Arial"/>
          <w:szCs w:val="24"/>
        </w:rPr>
        <w:t>. The range of organisations includes Further Education (FE) colleges, and other training, community, and voluntary organisations. All new partnership opportunities will be advertised and awarded using formal GCC partnership agreements. The consultation has concluded that a lot of the providers support persons within the community who otherwise would not be in education</w:t>
      </w:r>
      <w:r w:rsidR="00527B0C" w:rsidRPr="00C75104">
        <w:rPr>
          <w:rFonts w:cs="Arial"/>
          <w:szCs w:val="24"/>
        </w:rPr>
        <w:t>. The</w:t>
      </w:r>
      <w:r w:rsidR="00655DE3" w:rsidRPr="00C75104">
        <w:rPr>
          <w:rFonts w:cs="Arial"/>
          <w:szCs w:val="24"/>
        </w:rPr>
        <w:t xml:space="preserve"> training we aim to provide will be crucial in supporting them to take the next steps in education, improve their career prospects, wellbeing and family and </w:t>
      </w:r>
      <w:r w:rsidR="00655DE3" w:rsidRPr="00C75104">
        <w:rPr>
          <w:rFonts w:cs="Arial"/>
          <w:szCs w:val="24"/>
        </w:rPr>
        <w:lastRenderedPageBreak/>
        <w:t>community life. The providers that we will work with are specialist</w:t>
      </w:r>
      <w:r w:rsidR="00380941">
        <w:rPr>
          <w:rFonts w:cs="Arial"/>
          <w:szCs w:val="24"/>
        </w:rPr>
        <w:t>s</w:t>
      </w:r>
      <w:r w:rsidR="00655DE3" w:rsidRPr="00C75104">
        <w:rPr>
          <w:rFonts w:cs="Arial"/>
          <w:szCs w:val="24"/>
        </w:rPr>
        <w:t xml:space="preserve"> in their field and support learners in some cases with extreme disabilities or learning difficulties, without the provision, these individuals would not be supported or integrated within their community.</w:t>
      </w:r>
    </w:p>
    <w:p w14:paraId="26DF8295" w14:textId="67A1432D" w:rsidR="00735E63" w:rsidRDefault="00735E63" w:rsidP="00C75104">
      <w:pPr>
        <w:autoSpaceDE w:val="0"/>
        <w:autoSpaceDN w:val="0"/>
        <w:adjustRightInd w:val="0"/>
        <w:ind w:left="720" w:hanging="720"/>
        <w:rPr>
          <w:rFonts w:cs="Arial"/>
          <w:szCs w:val="24"/>
        </w:rPr>
      </w:pPr>
    </w:p>
    <w:p w14:paraId="309B0644" w14:textId="640B2803" w:rsidR="00735E63" w:rsidRPr="00C75104" w:rsidRDefault="00F11CD4" w:rsidP="00C75104">
      <w:pPr>
        <w:autoSpaceDE w:val="0"/>
        <w:autoSpaceDN w:val="0"/>
        <w:adjustRightInd w:val="0"/>
        <w:ind w:left="720" w:hanging="720"/>
        <w:rPr>
          <w:rFonts w:cs="Arial"/>
          <w:szCs w:val="24"/>
        </w:rPr>
      </w:pPr>
      <w:r>
        <w:rPr>
          <w:rFonts w:cs="Arial"/>
          <w:szCs w:val="24"/>
        </w:rPr>
        <w:t>2</w:t>
      </w:r>
      <w:r w:rsidR="00DF70E4">
        <w:rPr>
          <w:rFonts w:cs="Arial"/>
          <w:szCs w:val="24"/>
        </w:rPr>
        <w:t>2</w:t>
      </w:r>
      <w:r w:rsidR="00735E63">
        <w:rPr>
          <w:rFonts w:cs="Arial"/>
          <w:szCs w:val="24"/>
        </w:rPr>
        <w:t>.</w:t>
      </w:r>
      <w:r w:rsidR="00735E63">
        <w:rPr>
          <w:rFonts w:cs="Arial"/>
          <w:szCs w:val="24"/>
        </w:rPr>
        <w:tab/>
      </w:r>
      <w:r w:rsidR="000468D8">
        <w:rPr>
          <w:rFonts w:cs="Arial"/>
          <w:szCs w:val="24"/>
        </w:rPr>
        <w:t>Evaluation will take place throughout the duration of the programme either through official Multiply (DfE) surveys and evaluations or via internal Adult Education in Gloucestershire surveys and feedback mechanisms during learning activities</w:t>
      </w:r>
      <w:r w:rsidR="00AB4F91">
        <w:rPr>
          <w:rFonts w:cs="Arial"/>
          <w:szCs w:val="24"/>
        </w:rPr>
        <w:t xml:space="preserve">. </w:t>
      </w:r>
      <w:r w:rsidR="000468D8">
        <w:rPr>
          <w:rFonts w:cs="Arial"/>
          <w:szCs w:val="24"/>
        </w:rPr>
        <w:t xml:space="preserve">The information gained during these evaluations and surveys will be </w:t>
      </w:r>
      <w:r w:rsidR="00BE02EB">
        <w:rPr>
          <w:rFonts w:cs="Arial"/>
          <w:szCs w:val="24"/>
        </w:rPr>
        <w:t xml:space="preserve">analysed </w:t>
      </w:r>
      <w:r w:rsidR="000468D8">
        <w:rPr>
          <w:rFonts w:cs="Arial"/>
          <w:szCs w:val="24"/>
        </w:rPr>
        <w:t>and used to shape and build the delivery throughout the lifetime of the contract</w:t>
      </w:r>
      <w:r w:rsidR="00AB4F91">
        <w:rPr>
          <w:rFonts w:cs="Arial"/>
          <w:szCs w:val="24"/>
        </w:rPr>
        <w:t xml:space="preserve">. </w:t>
      </w:r>
      <w:r w:rsidR="000468D8">
        <w:rPr>
          <w:rFonts w:cs="Arial"/>
          <w:szCs w:val="24"/>
        </w:rPr>
        <w:t xml:space="preserve">This is vital to the success of the Multiply programme as </w:t>
      </w:r>
      <w:r w:rsidR="00BE02EB">
        <w:rPr>
          <w:rFonts w:cs="Arial"/>
          <w:szCs w:val="24"/>
        </w:rPr>
        <w:t>Maths</w:t>
      </w:r>
      <w:r w:rsidR="000468D8">
        <w:rPr>
          <w:rFonts w:cs="Arial"/>
          <w:szCs w:val="24"/>
        </w:rPr>
        <w:t xml:space="preserve"> is a challenging personal development area for most people and the programme must meet the needs of those </w:t>
      </w:r>
      <w:r w:rsidR="00BE02EB">
        <w:rPr>
          <w:rFonts w:cs="Arial"/>
          <w:szCs w:val="24"/>
        </w:rPr>
        <w:t>it is aimed at to be a success.</w:t>
      </w:r>
    </w:p>
    <w:p w14:paraId="3B004F57" w14:textId="77777777" w:rsidR="00655DE3" w:rsidRPr="00E83A65" w:rsidRDefault="00655DE3" w:rsidP="00655DE3">
      <w:pPr>
        <w:autoSpaceDE w:val="0"/>
        <w:autoSpaceDN w:val="0"/>
        <w:adjustRightInd w:val="0"/>
        <w:ind w:left="426" w:hanging="426"/>
        <w:rPr>
          <w:rFonts w:cs="Arial"/>
          <w:szCs w:val="24"/>
          <w:lang w:eastAsia="en-GB"/>
        </w:rPr>
      </w:pPr>
    </w:p>
    <w:p w14:paraId="5DF2AF00" w14:textId="09DC7D08" w:rsidR="00655DE3" w:rsidRPr="00C75104" w:rsidRDefault="00F11CD4" w:rsidP="00C75104">
      <w:pPr>
        <w:autoSpaceDE w:val="0"/>
        <w:autoSpaceDN w:val="0"/>
        <w:adjustRightInd w:val="0"/>
        <w:ind w:left="720" w:hanging="720"/>
        <w:rPr>
          <w:rFonts w:cs="Arial"/>
          <w:szCs w:val="24"/>
        </w:rPr>
      </w:pPr>
      <w:r>
        <w:rPr>
          <w:rFonts w:cs="Arial"/>
          <w:szCs w:val="24"/>
        </w:rPr>
        <w:t>2</w:t>
      </w:r>
      <w:r w:rsidR="00DF70E4">
        <w:rPr>
          <w:rFonts w:cs="Arial"/>
          <w:szCs w:val="24"/>
        </w:rPr>
        <w:t>3</w:t>
      </w:r>
      <w:r w:rsidR="00C75104">
        <w:rPr>
          <w:rFonts w:cs="Arial"/>
          <w:szCs w:val="24"/>
        </w:rPr>
        <w:t>.</w:t>
      </w:r>
      <w:r w:rsidR="00C75104">
        <w:rPr>
          <w:rFonts w:cs="Arial"/>
          <w:szCs w:val="24"/>
        </w:rPr>
        <w:tab/>
      </w:r>
      <w:r w:rsidR="00655DE3" w:rsidRPr="00C75104">
        <w:rPr>
          <w:rFonts w:cs="Arial"/>
          <w:szCs w:val="24"/>
        </w:rPr>
        <w:t xml:space="preserve">Key stakeholder consultation workshops have </w:t>
      </w:r>
      <w:r w:rsidR="00FE1ADF" w:rsidRPr="00C75104">
        <w:rPr>
          <w:rFonts w:cs="Arial"/>
          <w:szCs w:val="24"/>
        </w:rPr>
        <w:t xml:space="preserve">already </w:t>
      </w:r>
      <w:r w:rsidR="00655DE3" w:rsidRPr="00C75104">
        <w:rPr>
          <w:rFonts w:cs="Arial"/>
          <w:szCs w:val="24"/>
        </w:rPr>
        <w:t>taken place to outline the programme, the possible interventions and to gain ideas and feedback to help form the final Local Investment Plan</w:t>
      </w:r>
      <w:r w:rsidR="009A76FF" w:rsidRPr="00C75104">
        <w:rPr>
          <w:rFonts w:cs="Arial"/>
          <w:szCs w:val="24"/>
        </w:rPr>
        <w:t xml:space="preserve">. </w:t>
      </w:r>
      <w:r w:rsidR="00655DE3" w:rsidRPr="00C75104">
        <w:rPr>
          <w:rFonts w:cs="Arial"/>
          <w:szCs w:val="24"/>
        </w:rPr>
        <w:t>All ideas and feedback were collated and ha</w:t>
      </w:r>
      <w:r w:rsidR="00FE1ADF" w:rsidRPr="00C75104">
        <w:rPr>
          <w:rFonts w:cs="Arial"/>
          <w:szCs w:val="24"/>
        </w:rPr>
        <w:t>ve</w:t>
      </w:r>
      <w:r w:rsidR="00655DE3" w:rsidRPr="00C75104">
        <w:rPr>
          <w:rFonts w:cs="Arial"/>
          <w:szCs w:val="24"/>
        </w:rPr>
        <w:t xml:space="preserve"> been used to </w:t>
      </w:r>
      <w:r w:rsidR="00FE1ADF" w:rsidRPr="00C75104">
        <w:rPr>
          <w:rFonts w:cs="Arial"/>
          <w:szCs w:val="24"/>
        </w:rPr>
        <w:t>in</w:t>
      </w:r>
      <w:r w:rsidR="00655DE3" w:rsidRPr="00C75104">
        <w:rPr>
          <w:rFonts w:cs="Arial"/>
          <w:szCs w:val="24"/>
        </w:rPr>
        <w:t xml:space="preserve">form </w:t>
      </w:r>
      <w:r w:rsidR="00FE1ADF" w:rsidRPr="00C75104">
        <w:rPr>
          <w:rFonts w:cs="Arial"/>
          <w:szCs w:val="24"/>
        </w:rPr>
        <w:t xml:space="preserve">the </w:t>
      </w:r>
      <w:r w:rsidR="00655DE3" w:rsidRPr="00C75104">
        <w:rPr>
          <w:rFonts w:cs="Arial"/>
          <w:szCs w:val="24"/>
        </w:rPr>
        <w:t>next steps such as focus groups and other local training need research.</w:t>
      </w:r>
    </w:p>
    <w:p w14:paraId="42306891" w14:textId="77777777" w:rsidR="00655DE3" w:rsidRDefault="00655DE3" w:rsidP="00655DE3">
      <w:pPr>
        <w:pStyle w:val="Header"/>
        <w:ind w:left="426" w:hanging="426"/>
        <w:rPr>
          <w:rFonts w:ascii="Arial" w:hAnsi="Arial" w:cs="Arial"/>
          <w:b/>
          <w:bCs/>
          <w:szCs w:val="24"/>
        </w:rPr>
      </w:pPr>
    </w:p>
    <w:p w14:paraId="67F028EA" w14:textId="46CB2F0D" w:rsidR="00655DE3" w:rsidRDefault="00655DE3" w:rsidP="00C8305A">
      <w:pPr>
        <w:pStyle w:val="Header"/>
        <w:ind w:left="426" w:hanging="426"/>
        <w:rPr>
          <w:rFonts w:ascii="Arial" w:hAnsi="Arial" w:cs="Arial"/>
          <w:b/>
          <w:bCs/>
          <w:szCs w:val="24"/>
        </w:rPr>
      </w:pPr>
      <w:r w:rsidRPr="0075743F">
        <w:rPr>
          <w:rFonts w:ascii="Arial" w:hAnsi="Arial" w:cs="Arial"/>
          <w:b/>
          <w:bCs/>
          <w:szCs w:val="24"/>
        </w:rPr>
        <w:t>Officer recommendation</w:t>
      </w:r>
      <w:r w:rsidR="00C8305A">
        <w:rPr>
          <w:rFonts w:ascii="Arial" w:hAnsi="Arial" w:cs="Arial"/>
          <w:b/>
          <w:bCs/>
          <w:szCs w:val="24"/>
        </w:rPr>
        <w:t>s</w:t>
      </w:r>
    </w:p>
    <w:p w14:paraId="7BD8DA3D" w14:textId="338B91B2" w:rsidR="00C8305A" w:rsidRDefault="00C8305A" w:rsidP="00C8305A">
      <w:pPr>
        <w:pStyle w:val="Header"/>
        <w:ind w:left="426" w:hanging="426"/>
        <w:rPr>
          <w:rFonts w:ascii="Arial" w:hAnsi="Arial" w:cs="Arial"/>
          <w:szCs w:val="24"/>
        </w:rPr>
      </w:pPr>
    </w:p>
    <w:p w14:paraId="41B991A9" w14:textId="4B0ED91D" w:rsidR="00BE02EB" w:rsidRPr="00F24AF4" w:rsidRDefault="00F11CD4" w:rsidP="00BE02EB">
      <w:pPr>
        <w:autoSpaceDE w:val="0"/>
        <w:autoSpaceDN w:val="0"/>
        <w:adjustRightInd w:val="0"/>
        <w:ind w:left="720" w:hanging="720"/>
        <w:rPr>
          <w:rFonts w:cs="Arial"/>
          <w:szCs w:val="24"/>
          <w:lang w:eastAsia="en-GB"/>
        </w:rPr>
      </w:pPr>
      <w:r>
        <w:rPr>
          <w:rFonts w:cs="Arial"/>
          <w:szCs w:val="24"/>
          <w:lang w:eastAsia="en-GB"/>
        </w:rPr>
        <w:t>2</w:t>
      </w:r>
      <w:r w:rsidR="00DF70E4">
        <w:rPr>
          <w:rFonts w:cs="Arial"/>
          <w:szCs w:val="24"/>
          <w:lang w:eastAsia="en-GB"/>
        </w:rPr>
        <w:t>4</w:t>
      </w:r>
      <w:r w:rsidR="00BE02EB">
        <w:rPr>
          <w:rFonts w:cs="Arial"/>
          <w:szCs w:val="24"/>
          <w:lang w:eastAsia="en-GB"/>
        </w:rPr>
        <w:t>.</w:t>
      </w:r>
      <w:r w:rsidR="00BE02EB">
        <w:rPr>
          <w:rFonts w:cs="Arial"/>
          <w:szCs w:val="24"/>
          <w:lang w:eastAsia="en-GB"/>
        </w:rPr>
        <w:tab/>
      </w:r>
      <w:r w:rsidR="00BE02EB" w:rsidRPr="00F24AF4">
        <w:rPr>
          <w:rFonts w:cs="Arial"/>
          <w:szCs w:val="24"/>
          <w:lang w:eastAsia="en-GB"/>
        </w:rPr>
        <w:t>That the Cabinet Member for Education, Skills and Bus Transport delegates authority to the Executive Director of Economy, Environment and Infrastructure, in consultation with the Cabinet Member for Education, Skills and Bus Transport t</w:t>
      </w:r>
      <w:r w:rsidR="00BE02EB">
        <w:rPr>
          <w:rFonts w:cs="Arial"/>
          <w:szCs w:val="24"/>
          <w:lang w:eastAsia="en-GB"/>
        </w:rPr>
        <w:t>o:</w:t>
      </w:r>
    </w:p>
    <w:p w14:paraId="0715C4F5" w14:textId="77777777" w:rsidR="00BE02EB" w:rsidRPr="00F24AF4" w:rsidRDefault="00BE02EB" w:rsidP="00BE02EB">
      <w:pPr>
        <w:autoSpaceDE w:val="0"/>
        <w:autoSpaceDN w:val="0"/>
        <w:adjustRightInd w:val="0"/>
        <w:rPr>
          <w:rFonts w:cs="Arial"/>
          <w:szCs w:val="24"/>
          <w:lang w:eastAsia="en-GB"/>
        </w:rPr>
      </w:pPr>
    </w:p>
    <w:p w14:paraId="6931A632" w14:textId="77777777" w:rsidR="00BE02EB" w:rsidRDefault="00BE02EB" w:rsidP="00BE02EB">
      <w:pPr>
        <w:pStyle w:val="ListParagraph"/>
        <w:numPr>
          <w:ilvl w:val="0"/>
          <w:numId w:val="23"/>
        </w:numPr>
        <w:autoSpaceDE w:val="0"/>
        <w:autoSpaceDN w:val="0"/>
        <w:adjustRightInd w:val="0"/>
        <w:rPr>
          <w:rFonts w:ascii="Arial" w:hAnsi="Arial" w:cs="Arial"/>
          <w:sz w:val="24"/>
          <w:szCs w:val="24"/>
        </w:rPr>
      </w:pPr>
      <w:r>
        <w:rPr>
          <w:rFonts w:ascii="Arial" w:hAnsi="Arial" w:cs="Arial"/>
          <w:sz w:val="24"/>
          <w:szCs w:val="24"/>
        </w:rPr>
        <w:t>a</w:t>
      </w:r>
      <w:r w:rsidRPr="00E36EF3">
        <w:rPr>
          <w:rFonts w:ascii="Arial" w:hAnsi="Arial" w:cs="Arial"/>
          <w:sz w:val="24"/>
          <w:szCs w:val="24"/>
        </w:rPr>
        <w:t>ccept the grant and enter into a funding agreement with the DfE (Department for Education)</w:t>
      </w:r>
    </w:p>
    <w:p w14:paraId="30C1B909" w14:textId="77777777" w:rsidR="00BE02EB" w:rsidRPr="00E36EF3" w:rsidRDefault="00BE02EB" w:rsidP="00BE02EB">
      <w:pPr>
        <w:pStyle w:val="ListParagraph"/>
        <w:autoSpaceDE w:val="0"/>
        <w:autoSpaceDN w:val="0"/>
        <w:adjustRightInd w:val="0"/>
        <w:rPr>
          <w:rFonts w:ascii="Arial" w:hAnsi="Arial" w:cs="Arial"/>
          <w:sz w:val="24"/>
          <w:szCs w:val="24"/>
        </w:rPr>
      </w:pPr>
    </w:p>
    <w:p w14:paraId="12E46530" w14:textId="3EB2ACE9" w:rsidR="00BE02EB" w:rsidRDefault="00BE02EB" w:rsidP="00BE02EB">
      <w:pPr>
        <w:pStyle w:val="ListParagraph"/>
        <w:numPr>
          <w:ilvl w:val="0"/>
          <w:numId w:val="23"/>
        </w:numPr>
        <w:autoSpaceDE w:val="0"/>
        <w:autoSpaceDN w:val="0"/>
        <w:adjustRightInd w:val="0"/>
        <w:rPr>
          <w:rFonts w:ascii="Arial" w:hAnsi="Arial" w:cs="Arial"/>
          <w:sz w:val="24"/>
          <w:szCs w:val="24"/>
        </w:rPr>
      </w:pPr>
      <w:r>
        <w:rPr>
          <w:rFonts w:ascii="Arial" w:hAnsi="Arial" w:cs="Arial"/>
          <w:sz w:val="24"/>
          <w:szCs w:val="24"/>
        </w:rPr>
        <w:t>e</w:t>
      </w:r>
      <w:r w:rsidRPr="00F24AF4">
        <w:rPr>
          <w:rFonts w:ascii="Arial" w:hAnsi="Arial" w:cs="Arial"/>
          <w:sz w:val="24"/>
          <w:szCs w:val="24"/>
        </w:rPr>
        <w:t>stablish</w:t>
      </w:r>
      <w:r>
        <w:rPr>
          <w:rFonts w:ascii="Arial" w:hAnsi="Arial" w:cs="Arial"/>
          <w:sz w:val="24"/>
          <w:szCs w:val="24"/>
        </w:rPr>
        <w:t xml:space="preserve"> a </w:t>
      </w:r>
      <w:r w:rsidRPr="00F24AF4">
        <w:rPr>
          <w:rFonts w:ascii="Arial" w:hAnsi="Arial" w:cs="Arial"/>
          <w:sz w:val="24"/>
          <w:szCs w:val="24"/>
        </w:rPr>
        <w:t>grant funding</w:t>
      </w:r>
      <w:r>
        <w:rPr>
          <w:rFonts w:ascii="Arial" w:hAnsi="Arial" w:cs="Arial"/>
          <w:sz w:val="24"/>
          <w:szCs w:val="24"/>
        </w:rPr>
        <w:t xml:space="preserve"> process </w:t>
      </w:r>
      <w:r w:rsidR="008A2AF8">
        <w:rPr>
          <w:rFonts w:ascii="Arial" w:hAnsi="Arial" w:cs="Arial"/>
          <w:sz w:val="24"/>
          <w:szCs w:val="24"/>
        </w:rPr>
        <w:t xml:space="preserve">for the provision of </w:t>
      </w:r>
      <w:r>
        <w:rPr>
          <w:rFonts w:ascii="Arial" w:hAnsi="Arial" w:cs="Arial"/>
          <w:sz w:val="24"/>
          <w:szCs w:val="24"/>
        </w:rPr>
        <w:t>the services of key stakeholders</w:t>
      </w:r>
      <w:r w:rsidRPr="00F24AF4">
        <w:rPr>
          <w:rFonts w:ascii="Arial" w:hAnsi="Arial" w:cs="Arial"/>
          <w:sz w:val="24"/>
          <w:szCs w:val="24"/>
        </w:rPr>
        <w:t xml:space="preserve"> </w:t>
      </w:r>
      <w:r>
        <w:rPr>
          <w:rFonts w:ascii="Arial" w:hAnsi="Arial" w:cs="Arial"/>
          <w:sz w:val="24"/>
          <w:szCs w:val="24"/>
        </w:rPr>
        <w:t>in line with the Multiply funding guidance to support the delivery of the programme for the duration of the contract</w:t>
      </w:r>
      <w:r w:rsidR="00AB4F91">
        <w:rPr>
          <w:rFonts w:ascii="Arial" w:hAnsi="Arial" w:cs="Arial"/>
          <w:sz w:val="24"/>
          <w:szCs w:val="24"/>
        </w:rPr>
        <w:t xml:space="preserve">. </w:t>
      </w:r>
    </w:p>
    <w:p w14:paraId="3FB0C75C" w14:textId="06E39C02" w:rsidR="00827A07" w:rsidRPr="009101A7" w:rsidRDefault="00827A07" w:rsidP="00827A07">
      <w:pPr>
        <w:pStyle w:val="ListParagraph"/>
        <w:numPr>
          <w:ilvl w:val="0"/>
          <w:numId w:val="23"/>
        </w:numPr>
        <w:autoSpaceDE w:val="0"/>
        <w:autoSpaceDN w:val="0"/>
        <w:adjustRightInd w:val="0"/>
        <w:spacing w:before="240"/>
        <w:rPr>
          <w:rFonts w:ascii="Arial" w:hAnsi="Arial" w:cs="Arial"/>
          <w:sz w:val="24"/>
          <w:szCs w:val="28"/>
        </w:rPr>
      </w:pPr>
      <w:r w:rsidRPr="009101A7">
        <w:rPr>
          <w:rFonts w:ascii="Arial" w:hAnsi="Arial" w:cs="Arial"/>
          <w:sz w:val="24"/>
          <w:szCs w:val="28"/>
        </w:rPr>
        <w:t xml:space="preserve">recruit and appoint five new </w:t>
      </w:r>
      <w:r w:rsidR="005F459F">
        <w:rPr>
          <w:rFonts w:ascii="Arial" w:hAnsi="Arial" w:cs="Arial"/>
          <w:sz w:val="24"/>
          <w:szCs w:val="28"/>
        </w:rPr>
        <w:t xml:space="preserve">fixed term </w:t>
      </w:r>
      <w:r w:rsidR="00DF70E4">
        <w:rPr>
          <w:rFonts w:ascii="Arial" w:hAnsi="Arial" w:cs="Arial"/>
          <w:sz w:val="24"/>
          <w:szCs w:val="28"/>
        </w:rPr>
        <w:t xml:space="preserve">contract </w:t>
      </w:r>
      <w:r w:rsidRPr="009101A7">
        <w:rPr>
          <w:rFonts w:ascii="Arial" w:hAnsi="Arial" w:cs="Arial"/>
          <w:sz w:val="24"/>
          <w:szCs w:val="28"/>
        </w:rPr>
        <w:t xml:space="preserve">staff members to undertake the project management on the delivery of the programme. The cost of which has been included in the investment plan accepted by the DfE. </w:t>
      </w:r>
    </w:p>
    <w:p w14:paraId="525761D4" w14:textId="77777777" w:rsidR="00827A07" w:rsidRPr="00F24AF4" w:rsidRDefault="00827A07" w:rsidP="00827A07">
      <w:pPr>
        <w:pStyle w:val="ListParagraph"/>
        <w:autoSpaceDE w:val="0"/>
        <w:autoSpaceDN w:val="0"/>
        <w:adjustRightInd w:val="0"/>
        <w:ind w:left="1440"/>
        <w:rPr>
          <w:rFonts w:ascii="Arial" w:hAnsi="Arial" w:cs="Arial"/>
          <w:sz w:val="24"/>
          <w:szCs w:val="24"/>
        </w:rPr>
      </w:pPr>
    </w:p>
    <w:p w14:paraId="74535E51" w14:textId="48E09A03" w:rsidR="00655DE3" w:rsidRDefault="00655DE3" w:rsidP="00D910C4">
      <w:pPr>
        <w:pStyle w:val="Header"/>
        <w:ind w:left="426" w:hanging="426"/>
        <w:rPr>
          <w:rFonts w:ascii="Arial" w:hAnsi="Arial" w:cs="Arial"/>
          <w:b/>
          <w:szCs w:val="24"/>
        </w:rPr>
      </w:pPr>
      <w:r w:rsidRPr="0023151D">
        <w:rPr>
          <w:rFonts w:ascii="Arial" w:hAnsi="Arial" w:cs="Arial"/>
          <w:b/>
          <w:szCs w:val="24"/>
        </w:rPr>
        <w:t>Performance management</w:t>
      </w:r>
      <w:r w:rsidRPr="0075743F">
        <w:rPr>
          <w:rFonts w:ascii="Arial" w:hAnsi="Arial" w:cs="Arial"/>
          <w:b/>
          <w:szCs w:val="24"/>
        </w:rPr>
        <w:t>/f</w:t>
      </w:r>
      <w:r w:rsidRPr="00E903D3">
        <w:rPr>
          <w:rFonts w:ascii="Arial" w:hAnsi="Arial" w:cs="Arial"/>
          <w:b/>
          <w:szCs w:val="24"/>
        </w:rPr>
        <w:t>ollow-u</w:t>
      </w:r>
      <w:r w:rsidR="00D910C4">
        <w:rPr>
          <w:rFonts w:ascii="Arial" w:hAnsi="Arial" w:cs="Arial"/>
          <w:b/>
          <w:szCs w:val="24"/>
        </w:rPr>
        <w:t>p</w:t>
      </w:r>
    </w:p>
    <w:p w14:paraId="6B81478B" w14:textId="77777777" w:rsidR="00D910C4" w:rsidRPr="001E6C29" w:rsidRDefault="00D910C4" w:rsidP="00D910C4">
      <w:pPr>
        <w:pStyle w:val="Header"/>
        <w:ind w:left="426" w:hanging="426"/>
        <w:rPr>
          <w:rFonts w:ascii="Arial" w:hAnsi="Arial" w:cs="Arial"/>
          <w:szCs w:val="24"/>
        </w:rPr>
      </w:pPr>
    </w:p>
    <w:p w14:paraId="3D562E94" w14:textId="4C1C2318" w:rsidR="00655DE3" w:rsidRDefault="00F11CD4" w:rsidP="00C75104">
      <w:pPr>
        <w:ind w:left="720" w:hanging="720"/>
        <w:rPr>
          <w:rFonts w:cs="Arial"/>
          <w:szCs w:val="36"/>
        </w:rPr>
      </w:pPr>
      <w:r>
        <w:rPr>
          <w:rFonts w:cs="Arial"/>
          <w:szCs w:val="36"/>
        </w:rPr>
        <w:t>2</w:t>
      </w:r>
      <w:r w:rsidR="00DF70E4">
        <w:rPr>
          <w:rFonts w:cs="Arial"/>
          <w:szCs w:val="36"/>
        </w:rPr>
        <w:t>5</w:t>
      </w:r>
      <w:r w:rsidR="00C75104">
        <w:rPr>
          <w:rFonts w:cs="Arial"/>
          <w:szCs w:val="36"/>
        </w:rPr>
        <w:t>.</w:t>
      </w:r>
      <w:r w:rsidR="00C75104">
        <w:rPr>
          <w:rFonts w:cs="Arial"/>
          <w:szCs w:val="36"/>
        </w:rPr>
        <w:tab/>
      </w:r>
      <w:r w:rsidR="00655DE3" w:rsidRPr="00C75104">
        <w:rPr>
          <w:rFonts w:cs="Arial"/>
          <w:szCs w:val="36"/>
        </w:rPr>
        <w:t xml:space="preserve">Key targets and performance indicators will be agreed with each provider and included in their </w:t>
      </w:r>
      <w:r w:rsidR="00380941">
        <w:rPr>
          <w:rFonts w:cs="Arial"/>
          <w:szCs w:val="36"/>
        </w:rPr>
        <w:t>grant</w:t>
      </w:r>
      <w:r w:rsidR="00655DE3" w:rsidRPr="00C75104">
        <w:rPr>
          <w:rFonts w:cs="Arial"/>
          <w:szCs w:val="36"/>
        </w:rPr>
        <w:t xml:space="preserve"> agreements as per their expression of interest and budget profile </w:t>
      </w:r>
      <w:r w:rsidR="00380941">
        <w:rPr>
          <w:rFonts w:cs="Arial"/>
          <w:szCs w:val="36"/>
        </w:rPr>
        <w:t xml:space="preserve">and in accordance with the Multiply funding rules and regulations. </w:t>
      </w:r>
      <w:r w:rsidR="00655DE3" w:rsidRPr="00C75104">
        <w:rPr>
          <w:rFonts w:cs="Arial"/>
          <w:szCs w:val="36"/>
        </w:rPr>
        <w:t xml:space="preserve">A programme of reviews will be conducted with providers to assess performance against targets, particularly in the areas of numbers and types of learners, target groups, guided learning hours and learner hours. </w:t>
      </w:r>
    </w:p>
    <w:p w14:paraId="443A1F86" w14:textId="04D831BF" w:rsidR="00380941" w:rsidRDefault="00380941" w:rsidP="00C75104">
      <w:pPr>
        <w:ind w:left="720" w:hanging="720"/>
        <w:rPr>
          <w:rFonts w:cs="Arial"/>
          <w:szCs w:val="36"/>
        </w:rPr>
      </w:pPr>
    </w:p>
    <w:p w14:paraId="74F92C99" w14:textId="08014D16" w:rsidR="00380941" w:rsidRDefault="00F11CD4" w:rsidP="00C75104">
      <w:pPr>
        <w:ind w:left="720" w:hanging="720"/>
        <w:rPr>
          <w:rFonts w:cs="Arial"/>
          <w:szCs w:val="36"/>
        </w:rPr>
      </w:pPr>
      <w:r>
        <w:rPr>
          <w:rFonts w:cs="Arial"/>
          <w:szCs w:val="36"/>
        </w:rPr>
        <w:t>2</w:t>
      </w:r>
      <w:r w:rsidR="00DF70E4">
        <w:rPr>
          <w:rFonts w:cs="Arial"/>
          <w:szCs w:val="36"/>
        </w:rPr>
        <w:t>6</w:t>
      </w:r>
      <w:r w:rsidR="00380941">
        <w:rPr>
          <w:rFonts w:cs="Arial"/>
          <w:szCs w:val="36"/>
        </w:rPr>
        <w:t>.</w:t>
      </w:r>
      <w:r w:rsidR="00380941">
        <w:rPr>
          <w:rFonts w:cs="Arial"/>
          <w:szCs w:val="36"/>
        </w:rPr>
        <w:tab/>
        <w:t>The DfE require robust monitoring processes be set up to monitor and challenge delivery throughout the length of the contract</w:t>
      </w:r>
      <w:r w:rsidR="009A76FF">
        <w:rPr>
          <w:rFonts w:cs="Arial"/>
          <w:szCs w:val="36"/>
        </w:rPr>
        <w:t xml:space="preserve">. </w:t>
      </w:r>
    </w:p>
    <w:p w14:paraId="0B90BB4D" w14:textId="4A6E32BE" w:rsidR="00C87715" w:rsidRDefault="00C87715" w:rsidP="00C75104">
      <w:pPr>
        <w:ind w:left="720" w:hanging="720"/>
        <w:rPr>
          <w:rFonts w:cs="Arial"/>
          <w:szCs w:val="36"/>
        </w:rPr>
      </w:pPr>
    </w:p>
    <w:p w14:paraId="009D7E97" w14:textId="042AC84D" w:rsidR="00C87715" w:rsidRDefault="00F11CD4" w:rsidP="00C75104">
      <w:pPr>
        <w:ind w:left="720" w:hanging="720"/>
        <w:rPr>
          <w:rFonts w:cs="Arial"/>
          <w:szCs w:val="36"/>
        </w:rPr>
      </w:pPr>
      <w:r>
        <w:rPr>
          <w:rFonts w:cs="Arial"/>
          <w:szCs w:val="36"/>
        </w:rPr>
        <w:lastRenderedPageBreak/>
        <w:t>2</w:t>
      </w:r>
      <w:r w:rsidR="00DF70E4">
        <w:rPr>
          <w:rFonts w:cs="Arial"/>
          <w:szCs w:val="36"/>
        </w:rPr>
        <w:t>7</w:t>
      </w:r>
      <w:r w:rsidR="00C87715">
        <w:rPr>
          <w:rFonts w:cs="Arial"/>
          <w:szCs w:val="36"/>
        </w:rPr>
        <w:t>.</w:t>
      </w:r>
      <w:r w:rsidR="00C87715">
        <w:rPr>
          <w:rFonts w:cs="Arial"/>
          <w:szCs w:val="36"/>
        </w:rPr>
        <w:tab/>
        <w:t>Learner data will be collected via the existing Adult Education in Gloucestershire (</w:t>
      </w:r>
      <w:proofErr w:type="spellStart"/>
      <w:r w:rsidR="00C87715">
        <w:rPr>
          <w:rFonts w:cs="Arial"/>
          <w:szCs w:val="36"/>
        </w:rPr>
        <w:t>AEiG</w:t>
      </w:r>
      <w:proofErr w:type="spellEnd"/>
      <w:r w:rsidR="00C87715">
        <w:rPr>
          <w:rFonts w:cs="Arial"/>
          <w:szCs w:val="36"/>
        </w:rPr>
        <w:t xml:space="preserve">) Learner Management System (TERMS) in line with all existing </w:t>
      </w:r>
      <w:proofErr w:type="spellStart"/>
      <w:r w:rsidR="00C87715">
        <w:rPr>
          <w:rFonts w:cs="Arial"/>
          <w:szCs w:val="36"/>
        </w:rPr>
        <w:t>AEiG</w:t>
      </w:r>
      <w:proofErr w:type="spellEnd"/>
      <w:r w:rsidR="00C87715">
        <w:rPr>
          <w:rFonts w:cs="Arial"/>
          <w:szCs w:val="36"/>
        </w:rPr>
        <w:t xml:space="preserve"> contract management systems.</w:t>
      </w:r>
    </w:p>
    <w:p w14:paraId="43398858" w14:textId="11307C00" w:rsidR="00C87715" w:rsidRDefault="00C87715" w:rsidP="00C75104">
      <w:pPr>
        <w:ind w:left="720" w:hanging="720"/>
        <w:rPr>
          <w:rFonts w:cs="Arial"/>
          <w:szCs w:val="36"/>
        </w:rPr>
      </w:pPr>
    </w:p>
    <w:p w14:paraId="0C11D249" w14:textId="1ECC035E" w:rsidR="00C87715" w:rsidRDefault="00F11CD4" w:rsidP="00C75104">
      <w:pPr>
        <w:ind w:left="720" w:hanging="720"/>
        <w:rPr>
          <w:rFonts w:cs="Arial"/>
          <w:szCs w:val="36"/>
        </w:rPr>
      </w:pPr>
      <w:r>
        <w:rPr>
          <w:rFonts w:cs="Arial"/>
          <w:szCs w:val="36"/>
        </w:rPr>
        <w:t>2</w:t>
      </w:r>
      <w:r w:rsidR="00DF70E4">
        <w:rPr>
          <w:rFonts w:cs="Arial"/>
          <w:szCs w:val="36"/>
        </w:rPr>
        <w:t>8</w:t>
      </w:r>
      <w:r w:rsidR="00C87715">
        <w:rPr>
          <w:rFonts w:cs="Arial"/>
          <w:szCs w:val="36"/>
        </w:rPr>
        <w:t>.</w:t>
      </w:r>
      <w:r w:rsidR="00C87715">
        <w:rPr>
          <w:rFonts w:cs="Arial"/>
          <w:szCs w:val="36"/>
        </w:rPr>
        <w:tab/>
        <w:t xml:space="preserve">The delivery of the Multiply programme will be in line with existing </w:t>
      </w:r>
      <w:proofErr w:type="spellStart"/>
      <w:r w:rsidR="00C87715">
        <w:rPr>
          <w:rFonts w:cs="Arial"/>
          <w:szCs w:val="36"/>
        </w:rPr>
        <w:t>AEiG</w:t>
      </w:r>
      <w:proofErr w:type="spellEnd"/>
      <w:r w:rsidR="00C87715">
        <w:rPr>
          <w:rFonts w:cs="Arial"/>
          <w:szCs w:val="36"/>
        </w:rPr>
        <w:t xml:space="preserve"> programmes and will adhere to all Ofsted planning and development in line with existing </w:t>
      </w:r>
      <w:proofErr w:type="spellStart"/>
      <w:r w:rsidR="00C87715">
        <w:rPr>
          <w:rFonts w:cs="Arial"/>
          <w:szCs w:val="36"/>
        </w:rPr>
        <w:t>AEiG</w:t>
      </w:r>
      <w:proofErr w:type="spellEnd"/>
      <w:r w:rsidR="00C87715">
        <w:rPr>
          <w:rFonts w:cs="Arial"/>
          <w:szCs w:val="36"/>
        </w:rPr>
        <w:t xml:space="preserve"> delivery.</w:t>
      </w:r>
    </w:p>
    <w:p w14:paraId="4D5BD679" w14:textId="573FC6FB" w:rsidR="00C87715" w:rsidRDefault="00C87715" w:rsidP="00C75104">
      <w:pPr>
        <w:ind w:left="720" w:hanging="720"/>
        <w:rPr>
          <w:rFonts w:cs="Arial"/>
          <w:szCs w:val="36"/>
        </w:rPr>
      </w:pPr>
    </w:p>
    <w:p w14:paraId="44C18205" w14:textId="6A52EE8F" w:rsidR="00C87715" w:rsidRPr="00C75104" w:rsidRDefault="00DF70E4" w:rsidP="00C75104">
      <w:pPr>
        <w:ind w:left="720" w:hanging="720"/>
        <w:rPr>
          <w:rFonts w:cs="Arial"/>
          <w:szCs w:val="36"/>
        </w:rPr>
      </w:pPr>
      <w:r>
        <w:rPr>
          <w:rFonts w:cs="Arial"/>
          <w:szCs w:val="36"/>
        </w:rPr>
        <w:t>29</w:t>
      </w:r>
      <w:r w:rsidR="00C87715">
        <w:rPr>
          <w:rFonts w:cs="Arial"/>
          <w:szCs w:val="36"/>
        </w:rPr>
        <w:t>.</w:t>
      </w:r>
      <w:r w:rsidR="00C87715">
        <w:rPr>
          <w:rFonts w:cs="Arial"/>
          <w:szCs w:val="36"/>
        </w:rPr>
        <w:tab/>
      </w:r>
      <w:r w:rsidR="000F5442">
        <w:rPr>
          <w:rFonts w:cs="Arial"/>
          <w:szCs w:val="36"/>
        </w:rPr>
        <w:t xml:space="preserve">Project management </w:t>
      </w:r>
      <w:r w:rsidR="00C87715">
        <w:rPr>
          <w:rFonts w:cs="Arial"/>
          <w:szCs w:val="36"/>
        </w:rPr>
        <w:t xml:space="preserve">staff will work with the DfE to monitor the programme to ensure eligibility and residency criteria </w:t>
      </w:r>
      <w:r w:rsidR="00D910C4">
        <w:rPr>
          <w:rFonts w:cs="Arial"/>
          <w:szCs w:val="36"/>
        </w:rPr>
        <w:t>are</w:t>
      </w:r>
      <w:r w:rsidR="00C87715">
        <w:rPr>
          <w:rFonts w:cs="Arial"/>
          <w:szCs w:val="36"/>
        </w:rPr>
        <w:t xml:space="preserve"> adhered to as per the </w:t>
      </w:r>
      <w:r w:rsidR="00D910C4">
        <w:rPr>
          <w:rFonts w:cs="Arial"/>
          <w:szCs w:val="36"/>
        </w:rPr>
        <w:t>Adult Education Budget criteria and in line with the Multiply funding rules.</w:t>
      </w:r>
    </w:p>
    <w:p w14:paraId="2E45C5FF" w14:textId="77777777" w:rsidR="00655DE3" w:rsidRPr="0075743F" w:rsidRDefault="00655DE3" w:rsidP="00655DE3">
      <w:pPr>
        <w:ind w:left="426" w:hanging="426"/>
        <w:rPr>
          <w:rFonts w:cs="Arial"/>
          <w:szCs w:val="24"/>
        </w:rPr>
      </w:pPr>
    </w:p>
    <w:p w14:paraId="28DF4707" w14:textId="77777777" w:rsidR="004D77E9" w:rsidRDefault="004D77E9"/>
    <w:sectPr w:rsidR="004D77E9" w:rsidSect="00C75104">
      <w:pgSz w:w="11906" w:h="16838" w:code="9"/>
      <w:pgMar w:top="1440" w:right="849" w:bottom="1135"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21A45" w14:textId="77777777" w:rsidR="008A19B8" w:rsidRDefault="008A19B8" w:rsidP="00672F30">
      <w:r>
        <w:separator/>
      </w:r>
    </w:p>
  </w:endnote>
  <w:endnote w:type="continuationSeparator" w:id="0">
    <w:p w14:paraId="5A29D46C" w14:textId="77777777" w:rsidR="008A19B8" w:rsidRDefault="008A19B8" w:rsidP="0067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2080F" w14:textId="77777777" w:rsidR="008A19B8" w:rsidRDefault="008A19B8" w:rsidP="00672F30">
      <w:r>
        <w:separator/>
      </w:r>
    </w:p>
  </w:footnote>
  <w:footnote w:type="continuationSeparator" w:id="0">
    <w:p w14:paraId="5C7FC314" w14:textId="77777777" w:rsidR="008A19B8" w:rsidRDefault="008A19B8" w:rsidP="00672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2EFD"/>
    <w:multiLevelType w:val="hybridMultilevel"/>
    <w:tmpl w:val="219A9078"/>
    <w:lvl w:ilvl="0" w:tplc="0809000F">
      <w:start w:val="1"/>
      <w:numFmt w:val="decimal"/>
      <w:lvlText w:val="%1."/>
      <w:lvlJc w:val="left"/>
      <w:pPr>
        <w:ind w:left="360" w:hanging="360"/>
      </w:p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566EC"/>
    <w:multiLevelType w:val="hybridMultilevel"/>
    <w:tmpl w:val="B93485FA"/>
    <w:lvl w:ilvl="0" w:tplc="FFFFFFFF">
      <w:start w:val="1"/>
      <w:numFmt w:val="lowerLetter"/>
      <w:lvlText w:val="%1)"/>
      <w:lvlJc w:val="left"/>
      <w:pPr>
        <w:ind w:left="720" w:hanging="360"/>
      </w:pPr>
      <w:rPr>
        <w:sz w:val="24"/>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150161"/>
    <w:multiLevelType w:val="hybridMultilevel"/>
    <w:tmpl w:val="E676FB66"/>
    <w:lvl w:ilvl="0" w:tplc="C2A854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37FAD"/>
    <w:multiLevelType w:val="hybridMultilevel"/>
    <w:tmpl w:val="D8663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963D8"/>
    <w:multiLevelType w:val="hybridMultilevel"/>
    <w:tmpl w:val="C856141A"/>
    <w:lvl w:ilvl="0" w:tplc="ED789DA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AF2AE3"/>
    <w:multiLevelType w:val="hybridMultilevel"/>
    <w:tmpl w:val="FF4EF8B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364418"/>
    <w:multiLevelType w:val="hybridMultilevel"/>
    <w:tmpl w:val="A52644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3938F8"/>
    <w:multiLevelType w:val="hybridMultilevel"/>
    <w:tmpl w:val="CB7A95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A443FB"/>
    <w:multiLevelType w:val="hybridMultilevel"/>
    <w:tmpl w:val="AB06A4FE"/>
    <w:lvl w:ilvl="0" w:tplc="B6E61248">
      <w:start w:val="1"/>
      <w:numFmt w:val="decimal"/>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9" w15:restartNumberingAfterBreak="0">
    <w:nsid w:val="13927885"/>
    <w:multiLevelType w:val="multilevel"/>
    <w:tmpl w:val="B51A3E60"/>
    <w:lvl w:ilvl="0">
      <w:start w:val="1"/>
      <w:numFmt w:val="decimal"/>
      <w:lvlText w:val="%1."/>
      <w:lvlJc w:val="left"/>
      <w:pPr>
        <w:ind w:left="360" w:hanging="360"/>
      </w:pPr>
    </w:lvl>
    <w:lvl w:ilvl="1">
      <w:start w:val="9"/>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0" w15:restartNumberingAfterBreak="0">
    <w:nsid w:val="160F60D6"/>
    <w:multiLevelType w:val="hybridMultilevel"/>
    <w:tmpl w:val="6F7C8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014860"/>
    <w:multiLevelType w:val="hybridMultilevel"/>
    <w:tmpl w:val="9224E2FA"/>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982A7D"/>
    <w:multiLevelType w:val="hybridMultilevel"/>
    <w:tmpl w:val="415CC9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014BC9"/>
    <w:multiLevelType w:val="hybridMultilevel"/>
    <w:tmpl w:val="4178E7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B93776"/>
    <w:multiLevelType w:val="hybridMultilevel"/>
    <w:tmpl w:val="307E98BA"/>
    <w:lvl w:ilvl="0" w:tplc="21B218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E048D"/>
    <w:multiLevelType w:val="hybridMultilevel"/>
    <w:tmpl w:val="AC1C4F3E"/>
    <w:lvl w:ilvl="0" w:tplc="7BD04360">
      <w:start w:val="1"/>
      <w:numFmt w:val="lowerLetter"/>
      <w:lvlText w:val="%1)"/>
      <w:lvlJc w:val="left"/>
      <w:pPr>
        <w:ind w:left="720" w:hanging="360"/>
      </w:pPr>
      <w:rPr>
        <w:sz w:val="24"/>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D3902"/>
    <w:multiLevelType w:val="hybridMultilevel"/>
    <w:tmpl w:val="1722D9DC"/>
    <w:lvl w:ilvl="0" w:tplc="765AE736">
      <w:start w:val="17"/>
      <w:numFmt w:val="decimal"/>
      <w:lvlText w:val="%1."/>
      <w:lvlJc w:val="left"/>
      <w:pPr>
        <w:ind w:left="502" w:hanging="360"/>
      </w:pPr>
      <w:rPr>
        <w:rFonts w:ascii="Arial" w:hAnsi="Arial" w:cs="Arial" w:hint="default"/>
        <w:sz w:val="24"/>
        <w:szCs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37F27ED9"/>
    <w:multiLevelType w:val="hybridMultilevel"/>
    <w:tmpl w:val="3D401F5C"/>
    <w:lvl w:ilvl="0" w:tplc="AC8C2C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CD6E95"/>
    <w:multiLevelType w:val="hybridMultilevel"/>
    <w:tmpl w:val="EC1C765E"/>
    <w:lvl w:ilvl="0" w:tplc="80A82C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0762562"/>
    <w:multiLevelType w:val="hybridMultilevel"/>
    <w:tmpl w:val="D3FC2B1C"/>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67211F6"/>
    <w:multiLevelType w:val="hybridMultilevel"/>
    <w:tmpl w:val="A52644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3D0143"/>
    <w:multiLevelType w:val="hybridMultilevel"/>
    <w:tmpl w:val="A52644D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3A4AF4"/>
    <w:multiLevelType w:val="hybridMultilevel"/>
    <w:tmpl w:val="7C08E238"/>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5870EE"/>
    <w:multiLevelType w:val="hybridMultilevel"/>
    <w:tmpl w:val="C61A78A2"/>
    <w:lvl w:ilvl="0" w:tplc="1110014A">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C36712"/>
    <w:multiLevelType w:val="hybridMultilevel"/>
    <w:tmpl w:val="B93485FA"/>
    <w:lvl w:ilvl="0" w:tplc="7BD04360">
      <w:start w:val="1"/>
      <w:numFmt w:val="lowerLetter"/>
      <w:lvlText w:val="%1)"/>
      <w:lvlJc w:val="left"/>
      <w:pPr>
        <w:ind w:left="720" w:hanging="360"/>
      </w:pPr>
      <w:rPr>
        <w:sz w:val="24"/>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357736"/>
    <w:multiLevelType w:val="hybridMultilevel"/>
    <w:tmpl w:val="64DCA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B353B9"/>
    <w:multiLevelType w:val="hybridMultilevel"/>
    <w:tmpl w:val="3BF8ED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662DD0"/>
    <w:multiLevelType w:val="hybridMultilevel"/>
    <w:tmpl w:val="A52644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5955189">
    <w:abstractNumId w:val="8"/>
  </w:num>
  <w:num w:numId="2" w16cid:durableId="2000886429">
    <w:abstractNumId w:val="5"/>
  </w:num>
  <w:num w:numId="3" w16cid:durableId="538707477">
    <w:abstractNumId w:val="0"/>
  </w:num>
  <w:num w:numId="4" w16cid:durableId="404229490">
    <w:abstractNumId w:val="21"/>
  </w:num>
  <w:num w:numId="5" w16cid:durableId="284776110">
    <w:abstractNumId w:val="11"/>
  </w:num>
  <w:num w:numId="6" w16cid:durableId="1794059309">
    <w:abstractNumId w:val="10"/>
  </w:num>
  <w:num w:numId="7" w16cid:durableId="110639241">
    <w:abstractNumId w:val="18"/>
  </w:num>
  <w:num w:numId="8" w16cid:durableId="1775973048">
    <w:abstractNumId w:val="26"/>
  </w:num>
  <w:num w:numId="9" w16cid:durableId="1250193798">
    <w:abstractNumId w:val="22"/>
  </w:num>
  <w:num w:numId="10" w16cid:durableId="32078931">
    <w:abstractNumId w:val="23"/>
  </w:num>
  <w:num w:numId="11" w16cid:durableId="1822964170">
    <w:abstractNumId w:val="16"/>
  </w:num>
  <w:num w:numId="12" w16cid:durableId="340857645">
    <w:abstractNumId w:val="25"/>
  </w:num>
  <w:num w:numId="13" w16cid:durableId="748580596">
    <w:abstractNumId w:val="12"/>
  </w:num>
  <w:num w:numId="14" w16cid:durableId="460465720">
    <w:abstractNumId w:val="6"/>
  </w:num>
  <w:num w:numId="15" w16cid:durableId="1201749585">
    <w:abstractNumId w:val="20"/>
  </w:num>
  <w:num w:numId="16" w16cid:durableId="672954933">
    <w:abstractNumId w:val="14"/>
  </w:num>
  <w:num w:numId="17" w16cid:durableId="1728918146">
    <w:abstractNumId w:val="17"/>
  </w:num>
  <w:num w:numId="18" w16cid:durableId="1011418564">
    <w:abstractNumId w:val="2"/>
  </w:num>
  <w:num w:numId="19" w16cid:durableId="1689259234">
    <w:abstractNumId w:val="4"/>
  </w:num>
  <w:num w:numId="20" w16cid:durableId="2021927662">
    <w:abstractNumId w:val="9"/>
  </w:num>
  <w:num w:numId="21" w16cid:durableId="1445615198">
    <w:abstractNumId w:val="3"/>
  </w:num>
  <w:num w:numId="22" w16cid:durableId="897478877">
    <w:abstractNumId w:val="27"/>
  </w:num>
  <w:num w:numId="23" w16cid:durableId="618534177">
    <w:abstractNumId w:val="19"/>
  </w:num>
  <w:num w:numId="24" w16cid:durableId="983659286">
    <w:abstractNumId w:val="7"/>
  </w:num>
  <w:num w:numId="25" w16cid:durableId="1144128385">
    <w:abstractNumId w:val="13"/>
  </w:num>
  <w:num w:numId="26" w16cid:durableId="494762566">
    <w:abstractNumId w:val="15"/>
  </w:num>
  <w:num w:numId="27" w16cid:durableId="114520487">
    <w:abstractNumId w:val="24"/>
  </w:num>
  <w:num w:numId="28" w16cid:durableId="845438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E3"/>
    <w:rsid w:val="00015340"/>
    <w:rsid w:val="0004182D"/>
    <w:rsid w:val="000468D8"/>
    <w:rsid w:val="00046DBB"/>
    <w:rsid w:val="000625FE"/>
    <w:rsid w:val="000920DA"/>
    <w:rsid w:val="000C1442"/>
    <w:rsid w:val="000C194C"/>
    <w:rsid w:val="000E35CB"/>
    <w:rsid w:val="000F5442"/>
    <w:rsid w:val="00102E8F"/>
    <w:rsid w:val="00121854"/>
    <w:rsid w:val="00125E84"/>
    <w:rsid w:val="00132741"/>
    <w:rsid w:val="00150351"/>
    <w:rsid w:val="00173B47"/>
    <w:rsid w:val="0017679E"/>
    <w:rsid w:val="00195BE7"/>
    <w:rsid w:val="001A5112"/>
    <w:rsid w:val="001A5738"/>
    <w:rsid w:val="001A64FC"/>
    <w:rsid w:val="001B6AF3"/>
    <w:rsid w:val="001E1351"/>
    <w:rsid w:val="001F2050"/>
    <w:rsid w:val="001F28C2"/>
    <w:rsid w:val="001F70E7"/>
    <w:rsid w:val="00206DB1"/>
    <w:rsid w:val="0023151D"/>
    <w:rsid w:val="002422EE"/>
    <w:rsid w:val="0027251F"/>
    <w:rsid w:val="00274F2B"/>
    <w:rsid w:val="002A48CE"/>
    <w:rsid w:val="002B0132"/>
    <w:rsid w:val="002E0FD8"/>
    <w:rsid w:val="0033316E"/>
    <w:rsid w:val="00356E60"/>
    <w:rsid w:val="00363DA3"/>
    <w:rsid w:val="00380941"/>
    <w:rsid w:val="00387652"/>
    <w:rsid w:val="003F71DF"/>
    <w:rsid w:val="003F7643"/>
    <w:rsid w:val="00413F84"/>
    <w:rsid w:val="00437F9A"/>
    <w:rsid w:val="0045503D"/>
    <w:rsid w:val="004573DA"/>
    <w:rsid w:val="00470BEE"/>
    <w:rsid w:val="004769F7"/>
    <w:rsid w:val="004846CF"/>
    <w:rsid w:val="004A46EA"/>
    <w:rsid w:val="004B371D"/>
    <w:rsid w:val="004B66BB"/>
    <w:rsid w:val="004C0CA8"/>
    <w:rsid w:val="004C130A"/>
    <w:rsid w:val="004D1CDF"/>
    <w:rsid w:val="004D77E9"/>
    <w:rsid w:val="004E5925"/>
    <w:rsid w:val="0051215F"/>
    <w:rsid w:val="00516AC1"/>
    <w:rsid w:val="0051764A"/>
    <w:rsid w:val="005231AC"/>
    <w:rsid w:val="00527B0C"/>
    <w:rsid w:val="00535C1F"/>
    <w:rsid w:val="005565D3"/>
    <w:rsid w:val="005661F5"/>
    <w:rsid w:val="00572A39"/>
    <w:rsid w:val="0059236D"/>
    <w:rsid w:val="005D69CF"/>
    <w:rsid w:val="005F459F"/>
    <w:rsid w:val="00600347"/>
    <w:rsid w:val="00603FCC"/>
    <w:rsid w:val="00631687"/>
    <w:rsid w:val="00655293"/>
    <w:rsid w:val="00655DE3"/>
    <w:rsid w:val="00672F30"/>
    <w:rsid w:val="00675F70"/>
    <w:rsid w:val="00677F88"/>
    <w:rsid w:val="00691556"/>
    <w:rsid w:val="006A7331"/>
    <w:rsid w:val="006B61A2"/>
    <w:rsid w:val="006E0C92"/>
    <w:rsid w:val="006F18A9"/>
    <w:rsid w:val="00704E69"/>
    <w:rsid w:val="007066E6"/>
    <w:rsid w:val="00730557"/>
    <w:rsid w:val="00735E63"/>
    <w:rsid w:val="00737B4B"/>
    <w:rsid w:val="007420FA"/>
    <w:rsid w:val="007747BC"/>
    <w:rsid w:val="007867C7"/>
    <w:rsid w:val="007B064E"/>
    <w:rsid w:val="007B0FCC"/>
    <w:rsid w:val="007C44AE"/>
    <w:rsid w:val="007C5151"/>
    <w:rsid w:val="007D492A"/>
    <w:rsid w:val="007E773B"/>
    <w:rsid w:val="007F0A1A"/>
    <w:rsid w:val="007F25E9"/>
    <w:rsid w:val="008103E5"/>
    <w:rsid w:val="008106EE"/>
    <w:rsid w:val="00816CFF"/>
    <w:rsid w:val="00827A07"/>
    <w:rsid w:val="00865ADD"/>
    <w:rsid w:val="008842C5"/>
    <w:rsid w:val="008A19B8"/>
    <w:rsid w:val="008A2AF8"/>
    <w:rsid w:val="008A7C1C"/>
    <w:rsid w:val="008B30FE"/>
    <w:rsid w:val="008E4DE1"/>
    <w:rsid w:val="008E54BD"/>
    <w:rsid w:val="00900714"/>
    <w:rsid w:val="009101A7"/>
    <w:rsid w:val="00911C30"/>
    <w:rsid w:val="00935186"/>
    <w:rsid w:val="00940BE9"/>
    <w:rsid w:val="009620E2"/>
    <w:rsid w:val="00962750"/>
    <w:rsid w:val="009A2078"/>
    <w:rsid w:val="009A4683"/>
    <w:rsid w:val="009A76FF"/>
    <w:rsid w:val="009B4ABB"/>
    <w:rsid w:val="009B57C0"/>
    <w:rsid w:val="009F0B85"/>
    <w:rsid w:val="009F7261"/>
    <w:rsid w:val="00A000FA"/>
    <w:rsid w:val="00A45D2D"/>
    <w:rsid w:val="00A62689"/>
    <w:rsid w:val="00A720E2"/>
    <w:rsid w:val="00A7612E"/>
    <w:rsid w:val="00A76D21"/>
    <w:rsid w:val="00A900AA"/>
    <w:rsid w:val="00A909F3"/>
    <w:rsid w:val="00AB0C34"/>
    <w:rsid w:val="00AB4F91"/>
    <w:rsid w:val="00AC1E1F"/>
    <w:rsid w:val="00B02A70"/>
    <w:rsid w:val="00B06BAF"/>
    <w:rsid w:val="00B1389A"/>
    <w:rsid w:val="00B17F30"/>
    <w:rsid w:val="00B33B27"/>
    <w:rsid w:val="00B34A78"/>
    <w:rsid w:val="00B77536"/>
    <w:rsid w:val="00B955E8"/>
    <w:rsid w:val="00BD752D"/>
    <w:rsid w:val="00BE02EB"/>
    <w:rsid w:val="00BE2BEC"/>
    <w:rsid w:val="00C03C80"/>
    <w:rsid w:val="00C1110B"/>
    <w:rsid w:val="00C26449"/>
    <w:rsid w:val="00C34DB6"/>
    <w:rsid w:val="00C50B06"/>
    <w:rsid w:val="00C544F1"/>
    <w:rsid w:val="00C75104"/>
    <w:rsid w:val="00C8305A"/>
    <w:rsid w:val="00C87715"/>
    <w:rsid w:val="00C96FA5"/>
    <w:rsid w:val="00CA2973"/>
    <w:rsid w:val="00CA6DA2"/>
    <w:rsid w:val="00CB4694"/>
    <w:rsid w:val="00CE59D8"/>
    <w:rsid w:val="00D01E98"/>
    <w:rsid w:val="00D71C71"/>
    <w:rsid w:val="00D82C8E"/>
    <w:rsid w:val="00D8697E"/>
    <w:rsid w:val="00D910C4"/>
    <w:rsid w:val="00DD685D"/>
    <w:rsid w:val="00DF605F"/>
    <w:rsid w:val="00DF70E4"/>
    <w:rsid w:val="00E04004"/>
    <w:rsid w:val="00E05BFE"/>
    <w:rsid w:val="00E16DC1"/>
    <w:rsid w:val="00E305F8"/>
    <w:rsid w:val="00E36EF3"/>
    <w:rsid w:val="00E37481"/>
    <w:rsid w:val="00E70D07"/>
    <w:rsid w:val="00E7217A"/>
    <w:rsid w:val="00E92F71"/>
    <w:rsid w:val="00E934F3"/>
    <w:rsid w:val="00E9583E"/>
    <w:rsid w:val="00EA0968"/>
    <w:rsid w:val="00EB059C"/>
    <w:rsid w:val="00EB5957"/>
    <w:rsid w:val="00ED100A"/>
    <w:rsid w:val="00ED2391"/>
    <w:rsid w:val="00ED7647"/>
    <w:rsid w:val="00ED7874"/>
    <w:rsid w:val="00EE1240"/>
    <w:rsid w:val="00EE25EC"/>
    <w:rsid w:val="00EF2C0C"/>
    <w:rsid w:val="00EF4C62"/>
    <w:rsid w:val="00EF5258"/>
    <w:rsid w:val="00EF643A"/>
    <w:rsid w:val="00F11CD4"/>
    <w:rsid w:val="00F24AF4"/>
    <w:rsid w:val="00F424E9"/>
    <w:rsid w:val="00F71097"/>
    <w:rsid w:val="00F7429B"/>
    <w:rsid w:val="00F7494A"/>
    <w:rsid w:val="00F92984"/>
    <w:rsid w:val="00FB450E"/>
    <w:rsid w:val="00FD020D"/>
    <w:rsid w:val="00FE1ADF"/>
    <w:rsid w:val="00FE4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BFFFD"/>
  <w15:chartTrackingRefBased/>
  <w15:docId w15:val="{AEBCCC3B-C6C4-40EE-A206-50066CBA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DE3"/>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655DE3"/>
    <w:pPr>
      <w:keepNext/>
      <w:outlineLvl w:val="0"/>
    </w:pPr>
    <w:rPr>
      <w:b/>
    </w:rPr>
  </w:style>
  <w:style w:type="paragraph" w:styleId="Heading2">
    <w:name w:val="heading 2"/>
    <w:basedOn w:val="Normal"/>
    <w:next w:val="Normal"/>
    <w:link w:val="Heading2Char"/>
    <w:uiPriority w:val="9"/>
    <w:semiHidden/>
    <w:unhideWhenUsed/>
    <w:qFormat/>
    <w:rsid w:val="000E35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655DE3"/>
    <w:pPr>
      <w:keepNext/>
      <w:outlineLvl w:val="3"/>
    </w:pPr>
    <w:rPr>
      <w: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DE3"/>
    <w:rPr>
      <w:rFonts w:ascii="Arial" w:eastAsia="Times New Roman" w:hAnsi="Arial" w:cs="Times New Roman"/>
      <w:b/>
      <w:sz w:val="24"/>
      <w:szCs w:val="20"/>
    </w:rPr>
  </w:style>
  <w:style w:type="character" w:customStyle="1" w:styleId="Heading4Char">
    <w:name w:val="Heading 4 Char"/>
    <w:basedOn w:val="DefaultParagraphFont"/>
    <w:link w:val="Heading4"/>
    <w:rsid w:val="00655DE3"/>
    <w:rPr>
      <w:rFonts w:ascii="Arial" w:eastAsia="Times New Roman" w:hAnsi="Arial" w:cs="Times New Roman"/>
      <w:vanish/>
      <w:sz w:val="24"/>
      <w:szCs w:val="20"/>
    </w:rPr>
  </w:style>
  <w:style w:type="paragraph" w:styleId="Header">
    <w:name w:val="header"/>
    <w:basedOn w:val="Normal"/>
    <w:link w:val="HeaderChar"/>
    <w:uiPriority w:val="99"/>
    <w:semiHidden/>
    <w:rsid w:val="00655DE3"/>
    <w:pPr>
      <w:tabs>
        <w:tab w:val="center" w:pos="4153"/>
        <w:tab w:val="right" w:pos="8306"/>
      </w:tabs>
    </w:pPr>
    <w:rPr>
      <w:rFonts w:ascii="Times New Roman" w:hAnsi="Times New Roman"/>
    </w:rPr>
  </w:style>
  <w:style w:type="character" w:customStyle="1" w:styleId="HeaderChar">
    <w:name w:val="Header Char"/>
    <w:basedOn w:val="DefaultParagraphFont"/>
    <w:link w:val="Header"/>
    <w:uiPriority w:val="99"/>
    <w:semiHidden/>
    <w:rsid w:val="00655DE3"/>
    <w:rPr>
      <w:rFonts w:ascii="Times New Roman" w:eastAsia="Times New Roman" w:hAnsi="Times New Roman" w:cs="Times New Roman"/>
      <w:sz w:val="24"/>
      <w:szCs w:val="20"/>
    </w:rPr>
  </w:style>
  <w:style w:type="character" w:styleId="Hyperlink">
    <w:name w:val="Hyperlink"/>
    <w:semiHidden/>
    <w:rsid w:val="00655DE3"/>
    <w:rPr>
      <w:color w:val="0000FF"/>
      <w:u w:val="single"/>
    </w:rPr>
  </w:style>
  <w:style w:type="paragraph" w:styleId="ListParagraph">
    <w:name w:val="List Paragraph"/>
    <w:basedOn w:val="Normal"/>
    <w:uiPriority w:val="34"/>
    <w:qFormat/>
    <w:rsid w:val="00655DE3"/>
    <w:pPr>
      <w:ind w:left="720"/>
    </w:pPr>
    <w:rPr>
      <w:rFonts w:ascii="Calibri" w:eastAsia="Calibri" w:hAnsi="Calibri"/>
      <w:sz w:val="22"/>
      <w:szCs w:val="22"/>
      <w:lang w:eastAsia="en-GB"/>
    </w:rPr>
  </w:style>
  <w:style w:type="table" w:styleId="TableGrid">
    <w:name w:val="Table Grid"/>
    <w:basedOn w:val="TableNormal"/>
    <w:uiPriority w:val="59"/>
    <w:rsid w:val="00655DE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5DE3"/>
    <w:pPr>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655DE3"/>
    <w:rPr>
      <w:sz w:val="16"/>
      <w:szCs w:val="16"/>
    </w:rPr>
  </w:style>
  <w:style w:type="paragraph" w:styleId="CommentText">
    <w:name w:val="annotation text"/>
    <w:basedOn w:val="Normal"/>
    <w:link w:val="CommentTextChar"/>
    <w:uiPriority w:val="99"/>
    <w:unhideWhenUsed/>
    <w:rsid w:val="00655DE3"/>
    <w:rPr>
      <w:sz w:val="20"/>
    </w:rPr>
  </w:style>
  <w:style w:type="character" w:customStyle="1" w:styleId="CommentTextChar">
    <w:name w:val="Comment Text Char"/>
    <w:basedOn w:val="DefaultParagraphFont"/>
    <w:link w:val="CommentText"/>
    <w:uiPriority w:val="99"/>
    <w:rsid w:val="00655DE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E59D8"/>
    <w:rPr>
      <w:b/>
      <w:bCs/>
    </w:rPr>
  </w:style>
  <w:style w:type="character" w:customStyle="1" w:styleId="CommentSubjectChar">
    <w:name w:val="Comment Subject Char"/>
    <w:basedOn w:val="CommentTextChar"/>
    <w:link w:val="CommentSubject"/>
    <w:uiPriority w:val="99"/>
    <w:semiHidden/>
    <w:rsid w:val="00CE59D8"/>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CB4694"/>
    <w:rPr>
      <w:color w:val="605E5C"/>
      <w:shd w:val="clear" w:color="auto" w:fill="E1DFDD"/>
    </w:rPr>
  </w:style>
  <w:style w:type="paragraph" w:styleId="Footer">
    <w:name w:val="footer"/>
    <w:basedOn w:val="Normal"/>
    <w:link w:val="FooterChar"/>
    <w:uiPriority w:val="99"/>
    <w:unhideWhenUsed/>
    <w:rsid w:val="00672F30"/>
    <w:pPr>
      <w:tabs>
        <w:tab w:val="center" w:pos="4513"/>
        <w:tab w:val="right" w:pos="9026"/>
      </w:tabs>
    </w:pPr>
  </w:style>
  <w:style w:type="character" w:customStyle="1" w:styleId="FooterChar">
    <w:name w:val="Footer Char"/>
    <w:basedOn w:val="DefaultParagraphFont"/>
    <w:link w:val="Footer"/>
    <w:uiPriority w:val="99"/>
    <w:rsid w:val="00672F30"/>
    <w:rPr>
      <w:rFonts w:ascii="Arial" w:eastAsia="Times New Roman" w:hAnsi="Arial" w:cs="Times New Roman"/>
      <w:sz w:val="24"/>
      <w:szCs w:val="20"/>
    </w:rPr>
  </w:style>
  <w:style w:type="paragraph" w:styleId="Revision">
    <w:name w:val="Revision"/>
    <w:hidden/>
    <w:uiPriority w:val="99"/>
    <w:semiHidden/>
    <w:rsid w:val="00C50B06"/>
    <w:pPr>
      <w:spacing w:after="0" w:line="240" w:lineRule="auto"/>
    </w:pPr>
    <w:rPr>
      <w:rFonts w:ascii="Arial" w:eastAsia="Times New Roman" w:hAnsi="Arial" w:cs="Times New Roman"/>
      <w:sz w:val="24"/>
      <w:szCs w:val="20"/>
    </w:rPr>
  </w:style>
  <w:style w:type="character" w:customStyle="1" w:styleId="Heading2Char">
    <w:name w:val="Heading 2 Char"/>
    <w:basedOn w:val="DefaultParagraphFont"/>
    <w:link w:val="Heading2"/>
    <w:uiPriority w:val="9"/>
    <w:semiHidden/>
    <w:rsid w:val="000E35C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28747">
      <w:bodyDiv w:val="1"/>
      <w:marLeft w:val="0"/>
      <w:marRight w:val="0"/>
      <w:marTop w:val="0"/>
      <w:marBottom w:val="0"/>
      <w:divBdr>
        <w:top w:val="none" w:sz="0" w:space="0" w:color="auto"/>
        <w:left w:val="none" w:sz="0" w:space="0" w:color="auto"/>
        <w:bottom w:val="none" w:sz="0" w:space="0" w:color="auto"/>
        <w:right w:val="none" w:sz="0" w:space="0" w:color="auto"/>
      </w:divBdr>
    </w:div>
    <w:div w:id="527988242">
      <w:bodyDiv w:val="1"/>
      <w:marLeft w:val="0"/>
      <w:marRight w:val="0"/>
      <w:marTop w:val="0"/>
      <w:marBottom w:val="0"/>
      <w:divBdr>
        <w:top w:val="none" w:sz="0" w:space="0" w:color="auto"/>
        <w:left w:val="none" w:sz="0" w:space="0" w:color="auto"/>
        <w:bottom w:val="none" w:sz="0" w:space="0" w:color="auto"/>
        <w:right w:val="none" w:sz="0" w:space="0" w:color="auto"/>
      </w:divBdr>
    </w:div>
    <w:div w:id="1198158596">
      <w:bodyDiv w:val="1"/>
      <w:marLeft w:val="0"/>
      <w:marRight w:val="0"/>
      <w:marTop w:val="0"/>
      <w:marBottom w:val="0"/>
      <w:divBdr>
        <w:top w:val="none" w:sz="0" w:space="0" w:color="auto"/>
        <w:left w:val="none" w:sz="0" w:space="0" w:color="auto"/>
        <w:bottom w:val="none" w:sz="0" w:space="0" w:color="auto"/>
        <w:right w:val="none" w:sz="0" w:space="0" w:color="auto"/>
      </w:divBdr>
    </w:div>
    <w:div w:id="1451893458">
      <w:bodyDiv w:val="1"/>
      <w:marLeft w:val="0"/>
      <w:marRight w:val="0"/>
      <w:marTop w:val="0"/>
      <w:marBottom w:val="0"/>
      <w:divBdr>
        <w:top w:val="none" w:sz="0" w:space="0" w:color="auto"/>
        <w:left w:val="none" w:sz="0" w:space="0" w:color="auto"/>
        <w:bottom w:val="none" w:sz="0" w:space="0" w:color="auto"/>
        <w:right w:val="none" w:sz="0" w:space="0" w:color="auto"/>
      </w:divBdr>
    </w:div>
    <w:div w:id="155766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ah.carne@gloucestershir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1068823/Multiply_Technical_Guidance.pdf" TargetMode="External"/><Relationship Id="rId5" Type="http://schemas.openxmlformats.org/officeDocument/2006/relationships/webSettings" Target="webSettings.xml"/><Relationship Id="rId10" Type="http://schemas.openxmlformats.org/officeDocument/2006/relationships/hyperlink" Target="https://assets.publishing.service.gov.uk/government/uploads/system/uploads/attachment_data/file/1068822/Multiply_Investment_Prospectus.pdf" TargetMode="External"/><Relationship Id="rId4" Type="http://schemas.openxmlformats.org/officeDocument/2006/relationships/settings" Target="settings.xml"/><Relationship Id="rId9" Type="http://schemas.openxmlformats.org/officeDocument/2006/relationships/hyperlink" Target="https://glostext.gloucestershire.gov.uk/ieDecisionDetails.aspx?ID=189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7A1FF-A5B0-42AE-A724-704EF8346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3153</Words>
  <Characters>17978</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 Sarah</dc:creator>
  <cp:keywords/>
  <dc:description/>
  <cp:lastModifiedBy>BACE, Stephen</cp:lastModifiedBy>
  <cp:revision>2</cp:revision>
  <dcterms:created xsi:type="dcterms:W3CDTF">2022-08-30T10:04:00Z</dcterms:created>
  <dcterms:modified xsi:type="dcterms:W3CDTF">2022-08-30T10:04:00Z</dcterms:modified>
</cp:coreProperties>
</file>