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3DE357C3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Životné</w:t>
      </w:r>
      <w:proofErr w:type="spellEnd"/>
      <w:r w:rsidRPr="00027DDE">
        <w:rPr>
          <w:b/>
          <w:bCs/>
        </w:rPr>
        <w:t xml:space="preserve"> zručnosti a kurzy angličtiny</w:t>
      </w:r>
      <w:r w:rsidRPr="00027DDE">
        <w:br/>
      </w:r>
      <w:r w:rsidRPr="00027DDE">
        <w:rPr>
          <w:b/>
          <w:bCs/>
        </w:rPr>
        <w:t>Vstup zdarma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Vzdelávanie a odborná príprava pre utečencov bez sprievodu vo veku 17 – 25 rokov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Piatok ráno</w:t>
      </w:r>
      <w:r w:rsidRPr="00027DDE">
        <w:br/>
      </w:r>
      <w:r w:rsidRPr="00027DDE">
        <w:rPr>
          <w:b/>
          <w:bCs/>
        </w:rPr>
        <w:t>10 - 12 hod.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Ukrajinská asociácia38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Kurzy angličtiny s lekciami životných zručností vrátane podpory s: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Písanie životopisu / príprava na pohovor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Univerzálny úver a finančné vzdelávanie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Teória jazdy a bezpečnosť cestnej premávky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Bezpečnosť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Poradenstvo v oblasti bývania / prenájmu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7B9FD60B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40434D"/>
    <w:rsid w:val="007100F6"/>
    <w:rsid w:val="007803BE"/>
    <w:rsid w:val="008579A1"/>
    <w:rsid w:val="00B6697C"/>
    <w:rsid w:val="00B91C89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1C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2E6C1-FA0F-4EFD-9D3B-8EF903B30E10}"/>
</file>

<file path=customXml/itemProps2.xml><?xml version="1.0" encoding="utf-8"?>
<ds:datastoreItem xmlns:ds="http://schemas.openxmlformats.org/officeDocument/2006/customXml" ds:itemID="{4F524305-B5E8-4609-86A1-D2A43CB490DB}"/>
</file>

<file path=customXml/itemProps3.xml><?xml version="1.0" encoding="utf-8"?>
<ds:datastoreItem xmlns:ds="http://schemas.openxmlformats.org/officeDocument/2006/customXml" ds:itemID="{65FB6196-5303-43B1-A6D0-B92EE086A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24</Lines>
  <Paragraphs>14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