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4" w:type="dxa"/>
        <w:tblInd w:w="723" w:type="dxa"/>
        <w:tblLayout w:type="fixed"/>
        <w:tblLook w:val="0000"/>
      </w:tblPr>
      <w:tblGrid>
        <w:gridCol w:w="4313"/>
        <w:gridCol w:w="4711"/>
      </w:tblGrid>
      <w:tr w:rsidR="009E3A69" w:rsidTr="00FF6025">
        <w:trPr>
          <w:cantSplit/>
        </w:trPr>
        <w:tc>
          <w:tcPr>
            <w:tcW w:w="4313" w:type="dxa"/>
          </w:tcPr>
          <w:p w:rsidR="009E3A69" w:rsidRDefault="009E3A69" w:rsidP="007C7513">
            <w:pPr>
              <w:jc w:val="right"/>
            </w:pPr>
          </w:p>
        </w:tc>
        <w:tc>
          <w:tcPr>
            <w:tcW w:w="4711" w:type="dxa"/>
          </w:tcPr>
          <w:p w:rsidR="009E3A69" w:rsidRDefault="009E3A69" w:rsidP="00603D3E"/>
        </w:tc>
      </w:tr>
      <w:tr w:rsidR="009E3A69" w:rsidTr="00FF6025">
        <w:trPr>
          <w:cantSplit/>
        </w:trPr>
        <w:tc>
          <w:tcPr>
            <w:tcW w:w="4313" w:type="dxa"/>
          </w:tcPr>
          <w:p w:rsidR="0007362B" w:rsidRDefault="0007362B" w:rsidP="00603D3E"/>
        </w:tc>
        <w:tc>
          <w:tcPr>
            <w:tcW w:w="4711" w:type="dxa"/>
          </w:tcPr>
          <w:p w:rsidR="009E3A69" w:rsidRDefault="009E3A69" w:rsidP="00603D3E"/>
        </w:tc>
      </w:tr>
      <w:tr w:rsidR="009E3A69" w:rsidTr="00FF6025">
        <w:trPr>
          <w:cantSplit/>
        </w:trPr>
        <w:tc>
          <w:tcPr>
            <w:tcW w:w="4313" w:type="dxa"/>
          </w:tcPr>
          <w:p w:rsidR="009E3A69" w:rsidRDefault="009E3A69" w:rsidP="00603D3E"/>
        </w:tc>
        <w:tc>
          <w:tcPr>
            <w:tcW w:w="4711" w:type="dxa"/>
          </w:tcPr>
          <w:p w:rsidR="009E3A69" w:rsidRDefault="009E3A69" w:rsidP="00603D3E"/>
        </w:tc>
      </w:tr>
      <w:tr w:rsidR="009E3A69" w:rsidTr="00FF6025">
        <w:trPr>
          <w:cantSplit/>
        </w:trPr>
        <w:tc>
          <w:tcPr>
            <w:tcW w:w="4313" w:type="dxa"/>
          </w:tcPr>
          <w:p w:rsidR="009E3A69" w:rsidRDefault="009E3A69" w:rsidP="00603D3E"/>
        </w:tc>
        <w:tc>
          <w:tcPr>
            <w:tcW w:w="4711" w:type="dxa"/>
          </w:tcPr>
          <w:p w:rsidR="009E3A69" w:rsidRDefault="009E3A69" w:rsidP="00603D3E"/>
        </w:tc>
      </w:tr>
      <w:tr w:rsidR="009E3A69" w:rsidTr="00FF6025">
        <w:trPr>
          <w:cantSplit/>
        </w:trPr>
        <w:tc>
          <w:tcPr>
            <w:tcW w:w="4313" w:type="dxa"/>
          </w:tcPr>
          <w:p w:rsidR="009E3A69" w:rsidRDefault="009E3A69" w:rsidP="00603D3E"/>
        </w:tc>
        <w:tc>
          <w:tcPr>
            <w:tcW w:w="4711" w:type="dxa"/>
          </w:tcPr>
          <w:p w:rsidR="009E3A69" w:rsidRDefault="009E3A69" w:rsidP="00603D3E"/>
        </w:tc>
      </w:tr>
      <w:tr w:rsidR="009E3A69" w:rsidTr="00FF6025">
        <w:trPr>
          <w:cantSplit/>
        </w:trPr>
        <w:tc>
          <w:tcPr>
            <w:tcW w:w="4313" w:type="dxa"/>
          </w:tcPr>
          <w:p w:rsidR="009E3A69" w:rsidRDefault="009E3A69" w:rsidP="00603D3E"/>
        </w:tc>
        <w:tc>
          <w:tcPr>
            <w:tcW w:w="4711" w:type="dxa"/>
          </w:tcPr>
          <w:p w:rsidR="009E3A69" w:rsidRDefault="009E3A69" w:rsidP="00603D3E"/>
        </w:tc>
      </w:tr>
      <w:tr w:rsidR="009E3A69" w:rsidTr="00FF6025">
        <w:trPr>
          <w:cantSplit/>
        </w:trPr>
        <w:tc>
          <w:tcPr>
            <w:tcW w:w="4313" w:type="dxa"/>
          </w:tcPr>
          <w:p w:rsidR="009E3A69" w:rsidRDefault="009E3A69" w:rsidP="00603D3E"/>
        </w:tc>
        <w:tc>
          <w:tcPr>
            <w:tcW w:w="4711" w:type="dxa"/>
          </w:tcPr>
          <w:p w:rsidR="009E3A69" w:rsidRDefault="009E3A69" w:rsidP="00603D3E"/>
        </w:tc>
      </w:tr>
    </w:tbl>
    <w:p w:rsidR="0007362B" w:rsidRDefault="009E3A69" w:rsidP="004F08DC">
      <w:pPr>
        <w:pStyle w:val="Heading1"/>
        <w:rPr>
          <w:b w:val="0"/>
          <w:bCs/>
        </w:rPr>
      </w:pPr>
      <w:proofErr w:type="gramStart"/>
      <w:r>
        <w:rPr>
          <w:b w:val="0"/>
          <w:bCs/>
        </w:rPr>
        <w:t xml:space="preserve">Dear </w:t>
      </w:r>
      <w:r w:rsidR="00752151">
        <w:rPr>
          <w:b w:val="0"/>
          <w:bCs/>
        </w:rPr>
        <w:t xml:space="preserve"> (</w:t>
      </w:r>
      <w:proofErr w:type="gramEnd"/>
      <w:r w:rsidR="00752151">
        <w:rPr>
          <w:b w:val="0"/>
          <w:bCs/>
        </w:rPr>
        <w:t>provider)</w:t>
      </w:r>
      <w:r w:rsidR="0007362B">
        <w:rPr>
          <w:b w:val="0"/>
          <w:bCs/>
        </w:rPr>
        <w:t>,</w:t>
      </w:r>
    </w:p>
    <w:p w:rsidR="004F08DC" w:rsidRPr="004F08DC" w:rsidRDefault="004F08DC" w:rsidP="004F08DC"/>
    <w:p w:rsidR="009E3A69" w:rsidRPr="0065169A" w:rsidRDefault="009E3A69" w:rsidP="009E3A69">
      <w:pPr>
        <w:jc w:val="center"/>
        <w:rPr>
          <w:b/>
          <w:sz w:val="16"/>
          <w:szCs w:val="16"/>
        </w:rPr>
      </w:pPr>
    </w:p>
    <w:p w:rsidR="009E3A69" w:rsidRPr="004A4111" w:rsidRDefault="009E3A69" w:rsidP="009E3A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Revised t</w:t>
      </w:r>
      <w:r w:rsidRPr="004A4111">
        <w:rPr>
          <w:b/>
          <w:bCs/>
          <w:sz w:val="28"/>
          <w:szCs w:val="28"/>
        </w:rPr>
        <w:t>est for Deprivation of Liberty Safeguards</w:t>
      </w:r>
    </w:p>
    <w:p w:rsidR="009E3A69" w:rsidRDefault="009E3A69" w:rsidP="009E3A69">
      <w:pPr>
        <w:rPr>
          <w:b/>
          <w:sz w:val="16"/>
        </w:rPr>
      </w:pPr>
    </w:p>
    <w:p w:rsidR="009E3A69" w:rsidRDefault="009E3A69" w:rsidP="009E3A69">
      <w:pPr>
        <w:spacing w:line="276" w:lineRule="auto"/>
        <w:jc w:val="center"/>
        <w:rPr>
          <w:b/>
        </w:rPr>
      </w:pPr>
      <w:r>
        <w:rPr>
          <w:b/>
        </w:rPr>
        <w:t xml:space="preserve">This letter contains important information for you, as the </w:t>
      </w:r>
      <w:r w:rsidR="00752151">
        <w:rPr>
          <w:b/>
        </w:rPr>
        <w:t xml:space="preserve">Provider of care regarding the </w:t>
      </w:r>
      <w:r>
        <w:rPr>
          <w:b/>
        </w:rPr>
        <w:t xml:space="preserve">legal requirements </w:t>
      </w:r>
      <w:r w:rsidR="00752151">
        <w:rPr>
          <w:b/>
        </w:rPr>
        <w:t>for Deprivation of Liberty under Mental Capacity Act 2005.</w:t>
      </w:r>
    </w:p>
    <w:p w:rsidR="009E3A69" w:rsidRPr="0065169A" w:rsidRDefault="009E3A69" w:rsidP="009E3A69">
      <w:pPr>
        <w:spacing w:line="276" w:lineRule="auto"/>
        <w:jc w:val="center"/>
        <w:rPr>
          <w:b/>
          <w:sz w:val="18"/>
          <w:szCs w:val="18"/>
        </w:rPr>
      </w:pPr>
    </w:p>
    <w:p w:rsidR="009E3A69" w:rsidRPr="0065169A" w:rsidRDefault="009E3A69" w:rsidP="009E3A69">
      <w:pPr>
        <w:spacing w:line="276" w:lineRule="auto"/>
        <w:rPr>
          <w:sz w:val="16"/>
          <w:szCs w:val="16"/>
        </w:rPr>
      </w:pPr>
    </w:p>
    <w:p w:rsidR="009E3A69" w:rsidRDefault="009E3A69" w:rsidP="009E3A69">
      <w:pPr>
        <w:spacing w:line="276" w:lineRule="auto"/>
      </w:pPr>
      <w:r>
        <w:t>As you may know, on 19</w:t>
      </w:r>
      <w:r w:rsidRPr="00F651E1">
        <w:rPr>
          <w:vertAlign w:val="superscript"/>
        </w:rPr>
        <w:t>th</w:t>
      </w:r>
      <w:r>
        <w:t xml:space="preserve"> March 2014, the Supreme Court handed down its judgment in the case of </w:t>
      </w:r>
      <w:r w:rsidRPr="00F651E1">
        <w:rPr>
          <w:i/>
        </w:rPr>
        <w:t xml:space="preserve">P v Cheshire </w:t>
      </w:r>
      <w:r>
        <w:rPr>
          <w:i/>
        </w:rPr>
        <w:t>West and Chester C</w:t>
      </w:r>
      <w:r w:rsidRPr="00F651E1">
        <w:rPr>
          <w:i/>
        </w:rPr>
        <w:t>ouncil</w:t>
      </w:r>
      <w:r>
        <w:rPr>
          <w:i/>
        </w:rPr>
        <w:t xml:space="preserve"> </w:t>
      </w:r>
      <w:r>
        <w:t xml:space="preserve">and </w:t>
      </w:r>
      <w:r>
        <w:rPr>
          <w:i/>
        </w:rPr>
        <w:t>P &amp; Q v Surrey County Council</w:t>
      </w:r>
      <w:r>
        <w:t>; the Department of Health (see below) underlines how significant this judgment is in deciding whether arrangements made for the care and/or treatment of an individual lacking capacity to consent to those arrangements amount to a deprivation of liberty.</w:t>
      </w:r>
    </w:p>
    <w:p w:rsidR="009E3A69" w:rsidRDefault="009E3A69" w:rsidP="009E3A69">
      <w:pPr>
        <w:spacing w:line="276" w:lineRule="auto"/>
      </w:pPr>
    </w:p>
    <w:p w:rsidR="009E3A69" w:rsidRDefault="009E3A69" w:rsidP="009E3A69">
      <w:pPr>
        <w:spacing w:line="276" w:lineRule="auto"/>
      </w:pPr>
    </w:p>
    <w:p w:rsidR="009E3A69" w:rsidRPr="007E6C3D" w:rsidRDefault="009E3A69" w:rsidP="009E3A69">
      <w:pPr>
        <w:spacing w:line="276" w:lineRule="auto"/>
        <w:jc w:val="center"/>
        <w:rPr>
          <w:b/>
          <w:sz w:val="28"/>
          <w:szCs w:val="28"/>
        </w:rPr>
      </w:pPr>
      <w:r w:rsidRPr="007E6C3D">
        <w:rPr>
          <w:b/>
          <w:sz w:val="28"/>
          <w:szCs w:val="28"/>
        </w:rPr>
        <w:t>The new test</w:t>
      </w:r>
    </w:p>
    <w:p w:rsidR="009E3A69" w:rsidRDefault="009E3A69" w:rsidP="009E3A69">
      <w:pPr>
        <w:spacing w:line="276" w:lineRule="auto"/>
      </w:pPr>
    </w:p>
    <w:p w:rsidR="009E3A69" w:rsidRDefault="009E3A69" w:rsidP="009E3A69">
      <w:pPr>
        <w:spacing w:line="276" w:lineRule="auto"/>
      </w:pPr>
      <w:r>
        <w:t>The Supreme Court has clarified that there is a deprivation of liberty for the purposes of Article 5 of the European Convention on Human Rights in the following circumstances:</w:t>
      </w:r>
    </w:p>
    <w:p w:rsidR="009E3A69" w:rsidRDefault="009E3A69" w:rsidP="009E3A69">
      <w:pPr>
        <w:spacing w:line="276" w:lineRule="auto"/>
      </w:pPr>
    </w:p>
    <w:p w:rsidR="009E3A69" w:rsidRDefault="009E3A69" w:rsidP="009E3A69">
      <w:pPr>
        <w:spacing w:line="276" w:lineRule="auto"/>
        <w:rPr>
          <w:b/>
        </w:rPr>
      </w:pPr>
      <w:r>
        <w:t xml:space="preserve">    </w:t>
      </w:r>
      <w:r>
        <w:rPr>
          <w:b/>
        </w:rPr>
        <w:t xml:space="preserve">The person is under continuous supervision </w:t>
      </w:r>
      <w:r w:rsidRPr="00C44BC4">
        <w:rPr>
          <w:b/>
          <w:u w:val="single"/>
        </w:rPr>
        <w:t>and</w:t>
      </w:r>
      <w:r>
        <w:rPr>
          <w:b/>
        </w:rPr>
        <w:t xml:space="preserve"> control </w:t>
      </w:r>
      <w:r w:rsidRPr="0007362B">
        <w:rPr>
          <w:b/>
          <w:u w:val="single"/>
        </w:rPr>
        <w:t>and</w:t>
      </w:r>
      <w:r>
        <w:rPr>
          <w:b/>
        </w:rPr>
        <w:t xml:space="preserve"> is not free to                                          </w:t>
      </w:r>
    </w:p>
    <w:p w:rsidR="009E3A69" w:rsidRDefault="009E3A69" w:rsidP="009E3A69">
      <w:pPr>
        <w:spacing w:line="276" w:lineRule="auto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leave</w:t>
      </w:r>
      <w:proofErr w:type="gramEnd"/>
      <w:r>
        <w:rPr>
          <w:b/>
        </w:rPr>
        <w:t xml:space="preserve">, </w:t>
      </w:r>
      <w:r w:rsidRPr="0007362B">
        <w:rPr>
          <w:b/>
          <w:u w:val="single"/>
        </w:rPr>
        <w:t>and</w:t>
      </w:r>
      <w:r>
        <w:rPr>
          <w:b/>
        </w:rPr>
        <w:t xml:space="preserve"> the person lacks capacity to consent to these arrangements</w:t>
      </w:r>
      <w:r w:rsidR="00B532E0">
        <w:rPr>
          <w:b/>
        </w:rPr>
        <w:t>.</w:t>
      </w:r>
      <w:r>
        <w:rPr>
          <w:b/>
        </w:rPr>
        <w:t xml:space="preserve"> </w:t>
      </w:r>
    </w:p>
    <w:p w:rsidR="009E3A69" w:rsidRDefault="009E3A69" w:rsidP="009E3A69">
      <w:pPr>
        <w:spacing w:line="276" w:lineRule="auto"/>
        <w:rPr>
          <w:rFonts w:cs="Arial"/>
          <w:szCs w:val="24"/>
          <w:lang w:eastAsia="en-GB"/>
        </w:rPr>
      </w:pPr>
    </w:p>
    <w:p w:rsidR="009E3A69" w:rsidRDefault="00752151" w:rsidP="009E3A69">
      <w:pPr>
        <w:spacing w:line="276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If a person </w:t>
      </w:r>
      <w:r w:rsidR="009E3A69" w:rsidRPr="007E6C3D">
        <w:rPr>
          <w:rFonts w:cs="Arial"/>
          <w:szCs w:val="24"/>
          <w:lang w:eastAsia="en-GB"/>
        </w:rPr>
        <w:t xml:space="preserve">meets </w:t>
      </w:r>
      <w:r w:rsidR="009E3A69">
        <w:rPr>
          <w:rFonts w:cs="Arial"/>
          <w:szCs w:val="24"/>
          <w:lang w:eastAsia="en-GB"/>
        </w:rPr>
        <w:t>all</w:t>
      </w:r>
      <w:r w:rsidR="009E3A69" w:rsidRPr="007E6C3D">
        <w:rPr>
          <w:rFonts w:cs="Arial"/>
          <w:szCs w:val="24"/>
          <w:lang w:eastAsia="en-GB"/>
        </w:rPr>
        <w:t xml:space="preserve"> part</w:t>
      </w:r>
      <w:r w:rsidR="009E3A69">
        <w:rPr>
          <w:rFonts w:cs="Arial"/>
          <w:szCs w:val="24"/>
          <w:lang w:eastAsia="en-GB"/>
        </w:rPr>
        <w:t xml:space="preserve">s of this test and </w:t>
      </w:r>
      <w:r w:rsidR="009E3A69" w:rsidRPr="007E6C3D">
        <w:rPr>
          <w:rFonts w:cs="Arial"/>
          <w:szCs w:val="24"/>
          <w:lang w:eastAsia="en-GB"/>
        </w:rPr>
        <w:t xml:space="preserve">lacks </w:t>
      </w:r>
      <w:r w:rsidR="009E3A69">
        <w:rPr>
          <w:rFonts w:cs="Arial"/>
          <w:szCs w:val="24"/>
          <w:lang w:eastAsia="en-GB"/>
        </w:rPr>
        <w:t>the capacity to consent to their care plan</w:t>
      </w:r>
      <w:r w:rsidR="009E3A69" w:rsidRPr="007E6C3D">
        <w:rPr>
          <w:rFonts w:cs="Arial"/>
          <w:szCs w:val="24"/>
          <w:lang w:eastAsia="en-GB"/>
        </w:rPr>
        <w:t>, they are deprived of their liberty</w:t>
      </w:r>
      <w:r w:rsidR="00B532E0">
        <w:rPr>
          <w:rFonts w:cs="Arial"/>
          <w:szCs w:val="24"/>
          <w:lang w:eastAsia="en-GB"/>
        </w:rPr>
        <w:t>,</w:t>
      </w:r>
      <w:r w:rsidR="009E3A69" w:rsidRPr="007E6C3D">
        <w:rPr>
          <w:rFonts w:cs="Arial"/>
          <w:szCs w:val="24"/>
          <w:lang w:eastAsia="en-GB"/>
        </w:rPr>
        <w:t xml:space="preserve"> and this must be lawfully authorised</w:t>
      </w:r>
      <w:r w:rsidR="009E3A69">
        <w:rPr>
          <w:rFonts w:cs="Arial"/>
          <w:szCs w:val="24"/>
          <w:lang w:eastAsia="en-GB"/>
        </w:rPr>
        <w:t xml:space="preserve"> </w:t>
      </w:r>
      <w:r>
        <w:rPr>
          <w:rFonts w:cs="Arial"/>
          <w:szCs w:val="24"/>
          <w:lang w:eastAsia="en-GB"/>
        </w:rPr>
        <w:t>by the Court of Protection (because the individual is not in a registered care setting the Supervisory Body for DoLS (Gloucestershire County Council) cannot authorise the deprivation).</w:t>
      </w:r>
    </w:p>
    <w:p w:rsidR="009E3A69" w:rsidRDefault="009E3A69" w:rsidP="009E3A69">
      <w:pPr>
        <w:spacing w:line="276" w:lineRule="auto"/>
        <w:rPr>
          <w:rFonts w:cs="Arial"/>
          <w:szCs w:val="24"/>
          <w:lang w:eastAsia="en-GB"/>
        </w:rPr>
      </w:pPr>
      <w:r w:rsidRPr="007E6C3D">
        <w:rPr>
          <w:rFonts w:cs="Arial"/>
          <w:szCs w:val="24"/>
          <w:lang w:eastAsia="en-GB"/>
        </w:rPr>
        <w:t>.</w:t>
      </w:r>
    </w:p>
    <w:p w:rsidR="009E3A69" w:rsidRPr="007E6C3D" w:rsidRDefault="002A45E2" w:rsidP="009E3A69">
      <w:pPr>
        <w:spacing w:line="276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The previous indicators of a deprivation of liberty still apply.  However, i</w:t>
      </w:r>
      <w:r w:rsidR="009E3A69" w:rsidRPr="007E6C3D">
        <w:rPr>
          <w:rFonts w:cs="Arial"/>
          <w:szCs w:val="24"/>
          <w:lang w:eastAsia="en-GB"/>
        </w:rPr>
        <w:t xml:space="preserve">t is important to note that the Supreme Court highlighted a number of </w:t>
      </w:r>
      <w:r w:rsidR="00861EAC">
        <w:rPr>
          <w:rFonts w:cs="Arial"/>
          <w:szCs w:val="24"/>
          <w:lang w:eastAsia="en-GB"/>
        </w:rPr>
        <w:t>factors</w:t>
      </w:r>
      <w:r w:rsidR="009E3A69" w:rsidRPr="007E6C3D">
        <w:rPr>
          <w:rFonts w:cs="Arial"/>
          <w:szCs w:val="24"/>
          <w:lang w:eastAsia="en-GB"/>
        </w:rPr>
        <w:t xml:space="preserve"> that </w:t>
      </w:r>
      <w:r w:rsidR="009E3A69">
        <w:rPr>
          <w:rFonts w:cs="Arial"/>
          <w:szCs w:val="24"/>
          <w:lang w:eastAsia="en-GB"/>
        </w:rPr>
        <w:t>we used to work out if someone was deprived of their liberty</w:t>
      </w:r>
      <w:r w:rsidR="00861EAC">
        <w:rPr>
          <w:rFonts w:cs="Arial"/>
          <w:szCs w:val="24"/>
          <w:lang w:eastAsia="en-GB"/>
        </w:rPr>
        <w:t>; these</w:t>
      </w:r>
      <w:r w:rsidR="009E3A69">
        <w:rPr>
          <w:rFonts w:cs="Arial"/>
          <w:szCs w:val="24"/>
          <w:lang w:eastAsia="en-GB"/>
        </w:rPr>
        <w:t xml:space="preserve"> factors are no longer relevant in determining a deprivation of liberty but they are relevant as to whether a deprivation of liberty is in a person’s best interest or not:-</w:t>
      </w:r>
    </w:p>
    <w:p w:rsidR="009E3A69" w:rsidRDefault="009E3A69" w:rsidP="009E3A69">
      <w:pPr>
        <w:numPr>
          <w:ilvl w:val="0"/>
          <w:numId w:val="1"/>
        </w:numPr>
        <w:spacing w:line="276" w:lineRule="auto"/>
        <w:rPr>
          <w:rFonts w:cs="Arial"/>
          <w:szCs w:val="24"/>
          <w:lang w:eastAsia="en-GB"/>
        </w:rPr>
      </w:pPr>
      <w:r w:rsidRPr="007E6C3D">
        <w:rPr>
          <w:rFonts w:cs="Arial"/>
          <w:szCs w:val="24"/>
          <w:lang w:eastAsia="en-GB"/>
        </w:rPr>
        <w:t xml:space="preserve">how happy the person is in the </w:t>
      </w:r>
      <w:r w:rsidR="00752151">
        <w:rPr>
          <w:rFonts w:cs="Arial"/>
          <w:szCs w:val="24"/>
          <w:lang w:eastAsia="en-GB"/>
        </w:rPr>
        <w:t xml:space="preserve">care environment </w:t>
      </w:r>
    </w:p>
    <w:p w:rsidR="009E3A69" w:rsidRDefault="009E3A69" w:rsidP="009E3A69">
      <w:pPr>
        <w:numPr>
          <w:ilvl w:val="0"/>
          <w:numId w:val="1"/>
        </w:numPr>
        <w:spacing w:line="276" w:lineRule="auto"/>
        <w:rPr>
          <w:rFonts w:cs="Arial"/>
          <w:szCs w:val="24"/>
          <w:lang w:eastAsia="en-GB"/>
        </w:rPr>
      </w:pPr>
      <w:r w:rsidRPr="007E6C3D">
        <w:rPr>
          <w:rFonts w:cs="Arial"/>
          <w:szCs w:val="24"/>
          <w:lang w:eastAsia="en-GB"/>
        </w:rPr>
        <w:t>whether they have ever actually expressed the wish to leave</w:t>
      </w:r>
      <w:r>
        <w:rPr>
          <w:rFonts w:cs="Arial"/>
          <w:szCs w:val="24"/>
          <w:lang w:eastAsia="en-GB"/>
        </w:rPr>
        <w:t xml:space="preserve"> or tried to leave</w:t>
      </w:r>
    </w:p>
    <w:p w:rsidR="009E3A69" w:rsidRDefault="009E3A69" w:rsidP="009E3A69">
      <w:pPr>
        <w:numPr>
          <w:ilvl w:val="0"/>
          <w:numId w:val="1"/>
        </w:numPr>
        <w:spacing w:line="276" w:lineRule="auto"/>
        <w:rPr>
          <w:rFonts w:cs="Arial"/>
          <w:szCs w:val="24"/>
          <w:lang w:eastAsia="en-GB"/>
        </w:rPr>
      </w:pPr>
      <w:r w:rsidRPr="007E6C3D">
        <w:rPr>
          <w:rFonts w:cs="Arial"/>
          <w:szCs w:val="24"/>
          <w:lang w:eastAsia="en-GB"/>
        </w:rPr>
        <w:t>the reason why they are there</w:t>
      </w:r>
    </w:p>
    <w:p w:rsidR="009E3A69" w:rsidRDefault="009E3A69" w:rsidP="009E3A69">
      <w:pPr>
        <w:numPr>
          <w:ilvl w:val="0"/>
          <w:numId w:val="1"/>
        </w:numPr>
        <w:spacing w:line="276" w:lineRule="auto"/>
        <w:rPr>
          <w:rFonts w:cs="Arial"/>
          <w:szCs w:val="24"/>
          <w:lang w:eastAsia="en-GB"/>
        </w:rPr>
      </w:pPr>
      <w:r w:rsidRPr="007E6C3D">
        <w:rPr>
          <w:rFonts w:cs="Arial"/>
          <w:szCs w:val="24"/>
          <w:lang w:eastAsia="en-GB"/>
        </w:rPr>
        <w:t xml:space="preserve">whether they have anywhere else to go                </w:t>
      </w:r>
    </w:p>
    <w:p w:rsidR="009E3A69" w:rsidRPr="007E6C3D" w:rsidRDefault="009E3A69" w:rsidP="009E3A69">
      <w:pPr>
        <w:numPr>
          <w:ilvl w:val="0"/>
          <w:numId w:val="1"/>
        </w:numPr>
        <w:spacing w:line="276" w:lineRule="auto"/>
        <w:rPr>
          <w:rFonts w:cs="Arial"/>
          <w:szCs w:val="24"/>
          <w:lang w:eastAsia="en-GB"/>
        </w:rPr>
      </w:pPr>
      <w:proofErr w:type="gramStart"/>
      <w:r w:rsidRPr="007E6C3D">
        <w:rPr>
          <w:rFonts w:cs="Arial"/>
          <w:szCs w:val="24"/>
          <w:lang w:eastAsia="en-GB"/>
        </w:rPr>
        <w:t>the</w:t>
      </w:r>
      <w:proofErr w:type="gramEnd"/>
      <w:r w:rsidRPr="007E6C3D">
        <w:rPr>
          <w:rFonts w:cs="Arial"/>
          <w:szCs w:val="24"/>
          <w:lang w:eastAsia="en-GB"/>
        </w:rPr>
        <w:t xml:space="preserve"> relative normality of their situation.  </w:t>
      </w:r>
    </w:p>
    <w:p w:rsidR="009E3A69" w:rsidRPr="007E6C3D" w:rsidRDefault="009E3A69" w:rsidP="009E3A69">
      <w:pPr>
        <w:spacing w:line="276" w:lineRule="auto"/>
        <w:rPr>
          <w:rFonts w:cs="Arial"/>
          <w:szCs w:val="24"/>
          <w:lang w:eastAsia="en-GB"/>
        </w:rPr>
      </w:pPr>
    </w:p>
    <w:p w:rsidR="009E3A69" w:rsidRDefault="009E3A69" w:rsidP="009E3A69">
      <w:pPr>
        <w:spacing w:line="276" w:lineRule="auto"/>
        <w:rPr>
          <w:rFonts w:cs="Arial"/>
          <w:szCs w:val="24"/>
          <w:lang w:eastAsia="en-GB"/>
        </w:rPr>
      </w:pPr>
      <w:r w:rsidRPr="007E6C3D">
        <w:rPr>
          <w:rFonts w:cs="Arial"/>
          <w:szCs w:val="24"/>
          <w:lang w:eastAsia="en-GB"/>
        </w:rPr>
        <w:t xml:space="preserve">We would suggest that </w:t>
      </w:r>
      <w:r>
        <w:rPr>
          <w:rFonts w:cs="Arial"/>
          <w:szCs w:val="24"/>
          <w:lang w:eastAsia="en-GB"/>
        </w:rPr>
        <w:t xml:space="preserve">in a timely way, </w:t>
      </w:r>
      <w:r w:rsidRPr="007E6C3D">
        <w:rPr>
          <w:rFonts w:cs="Arial"/>
          <w:szCs w:val="24"/>
          <w:lang w:eastAsia="en-GB"/>
        </w:rPr>
        <w:t>you need</w:t>
      </w:r>
      <w:r w:rsidR="0007271E">
        <w:rPr>
          <w:rFonts w:cs="Arial"/>
          <w:szCs w:val="24"/>
          <w:lang w:eastAsia="en-GB"/>
        </w:rPr>
        <w:t xml:space="preserve"> to</w:t>
      </w:r>
      <w:r w:rsidRPr="007E6C3D">
        <w:rPr>
          <w:rFonts w:cs="Arial"/>
          <w:szCs w:val="24"/>
          <w:lang w:eastAsia="en-GB"/>
        </w:rPr>
        <w:t xml:space="preserve"> </w:t>
      </w:r>
      <w:r w:rsidR="009C391A">
        <w:rPr>
          <w:rFonts w:cs="Arial"/>
          <w:szCs w:val="24"/>
          <w:lang w:eastAsia="en-GB"/>
        </w:rPr>
        <w:t xml:space="preserve">consider the situation of </w:t>
      </w:r>
      <w:r>
        <w:rPr>
          <w:rFonts w:cs="Arial"/>
          <w:szCs w:val="24"/>
          <w:lang w:eastAsia="en-GB"/>
        </w:rPr>
        <w:t xml:space="preserve">each of your </w:t>
      </w:r>
      <w:r w:rsidRPr="00752151">
        <w:rPr>
          <w:rFonts w:cs="Arial"/>
          <w:b/>
          <w:szCs w:val="24"/>
          <w:lang w:eastAsia="en-GB"/>
        </w:rPr>
        <w:t>residents</w:t>
      </w:r>
      <w:r w:rsidR="009C391A">
        <w:rPr>
          <w:rFonts w:cs="Arial"/>
          <w:szCs w:val="24"/>
          <w:lang w:eastAsia="en-GB"/>
        </w:rPr>
        <w:t xml:space="preserve">. </w:t>
      </w:r>
      <w:r>
        <w:rPr>
          <w:rFonts w:cs="Arial"/>
          <w:szCs w:val="24"/>
          <w:lang w:eastAsia="en-GB"/>
        </w:rPr>
        <w:t xml:space="preserve"> </w:t>
      </w:r>
      <w:r w:rsidR="009C391A">
        <w:rPr>
          <w:rFonts w:cs="Arial"/>
          <w:szCs w:val="24"/>
          <w:lang w:eastAsia="en-GB"/>
        </w:rPr>
        <w:t>A</w:t>
      </w:r>
      <w:r w:rsidRPr="007E6C3D">
        <w:rPr>
          <w:rFonts w:cs="Arial"/>
          <w:szCs w:val="24"/>
          <w:lang w:eastAsia="en-GB"/>
        </w:rPr>
        <w:t xml:space="preserve">fter reviewing their capacity to consent to being in the care home, </w:t>
      </w:r>
      <w:r>
        <w:rPr>
          <w:rFonts w:cs="Arial"/>
          <w:szCs w:val="24"/>
          <w:lang w:eastAsia="en-GB"/>
        </w:rPr>
        <w:t xml:space="preserve">you need </w:t>
      </w:r>
      <w:r>
        <w:rPr>
          <w:rFonts w:cs="Arial"/>
          <w:szCs w:val="24"/>
          <w:lang w:eastAsia="en-GB"/>
        </w:rPr>
        <w:lastRenderedPageBreak/>
        <w:t xml:space="preserve">to </w:t>
      </w:r>
      <w:r w:rsidRPr="007E6C3D">
        <w:rPr>
          <w:rFonts w:cs="Arial"/>
          <w:szCs w:val="24"/>
          <w:lang w:eastAsia="en-GB"/>
        </w:rPr>
        <w:t xml:space="preserve">decide whether they are ‘under continuous supervision </w:t>
      </w:r>
      <w:r w:rsidRPr="00494275">
        <w:rPr>
          <w:rFonts w:cs="Arial"/>
          <w:szCs w:val="24"/>
          <w:u w:val="single"/>
          <w:lang w:eastAsia="en-GB"/>
        </w:rPr>
        <w:t>and</w:t>
      </w:r>
      <w:r w:rsidRPr="007E6C3D">
        <w:rPr>
          <w:rFonts w:cs="Arial"/>
          <w:szCs w:val="24"/>
          <w:lang w:eastAsia="en-GB"/>
        </w:rPr>
        <w:t xml:space="preserve"> control’ and whether they are ‘not free to leave’</w:t>
      </w:r>
      <w:r>
        <w:rPr>
          <w:rFonts w:cs="Arial"/>
          <w:szCs w:val="24"/>
          <w:lang w:eastAsia="en-GB"/>
        </w:rPr>
        <w:t xml:space="preserve"> (i.e. the focus is not on the person’s ability to express a desire to leave but on what staff would do if they s</w:t>
      </w:r>
      <w:r w:rsidR="00646A31">
        <w:rPr>
          <w:rFonts w:cs="Arial"/>
          <w:szCs w:val="24"/>
          <w:lang w:eastAsia="en-GB"/>
        </w:rPr>
        <w:t>ought</w:t>
      </w:r>
      <w:r>
        <w:rPr>
          <w:rFonts w:cs="Arial"/>
          <w:szCs w:val="24"/>
          <w:lang w:eastAsia="en-GB"/>
        </w:rPr>
        <w:t xml:space="preserve"> to leave).  </w:t>
      </w:r>
    </w:p>
    <w:p w:rsidR="009E3A69" w:rsidRDefault="009E3A69" w:rsidP="009E3A69">
      <w:pPr>
        <w:spacing w:line="276" w:lineRule="auto"/>
        <w:rPr>
          <w:rFonts w:cs="Arial"/>
          <w:szCs w:val="24"/>
          <w:lang w:eastAsia="en-GB"/>
        </w:rPr>
      </w:pPr>
    </w:p>
    <w:p w:rsidR="009E3A69" w:rsidRDefault="009E3A69" w:rsidP="009E3A69">
      <w:pPr>
        <w:spacing w:line="276" w:lineRule="auto"/>
        <w:rPr>
          <w:rFonts w:cs="Arial"/>
          <w:szCs w:val="24"/>
          <w:lang w:eastAsia="en-GB"/>
        </w:rPr>
      </w:pPr>
      <w:r w:rsidRPr="007E6C3D">
        <w:rPr>
          <w:rFonts w:cs="Arial"/>
          <w:szCs w:val="24"/>
          <w:lang w:eastAsia="en-GB"/>
        </w:rPr>
        <w:t>You should then look again at the circumstances of the case and check to see whether the person’s care can be provide</w:t>
      </w:r>
      <w:r>
        <w:rPr>
          <w:rFonts w:cs="Arial"/>
          <w:szCs w:val="24"/>
          <w:lang w:eastAsia="en-GB"/>
        </w:rPr>
        <w:t>d</w:t>
      </w:r>
      <w:r w:rsidRPr="007E6C3D">
        <w:rPr>
          <w:rFonts w:cs="Arial"/>
          <w:szCs w:val="24"/>
          <w:lang w:eastAsia="en-GB"/>
        </w:rPr>
        <w:t xml:space="preserve"> in a way that </w:t>
      </w:r>
      <w:r>
        <w:rPr>
          <w:rFonts w:cs="Arial"/>
          <w:szCs w:val="24"/>
          <w:lang w:eastAsia="en-GB"/>
        </w:rPr>
        <w:t xml:space="preserve">is less restrictive and </w:t>
      </w:r>
      <w:r w:rsidRPr="007E6C3D">
        <w:rPr>
          <w:rFonts w:cs="Arial"/>
          <w:szCs w:val="24"/>
          <w:lang w:eastAsia="en-GB"/>
        </w:rPr>
        <w:t xml:space="preserve">doesn’t require them to be deprived </w:t>
      </w:r>
      <w:r>
        <w:rPr>
          <w:rFonts w:cs="Arial"/>
          <w:szCs w:val="24"/>
          <w:lang w:eastAsia="en-GB"/>
        </w:rPr>
        <w:t>of their liberty.  If this is not</w:t>
      </w:r>
      <w:r w:rsidRPr="007E6C3D">
        <w:rPr>
          <w:rFonts w:cs="Arial"/>
          <w:szCs w:val="24"/>
          <w:lang w:eastAsia="en-GB"/>
        </w:rPr>
        <w:t xml:space="preserve"> possible,</w:t>
      </w:r>
      <w:r w:rsidR="00752151">
        <w:rPr>
          <w:rFonts w:cs="Arial"/>
          <w:szCs w:val="24"/>
          <w:lang w:eastAsia="en-GB"/>
        </w:rPr>
        <w:t xml:space="preserve"> the deprivation of liberty must be authorised by the Court of Protection for it to be lawful.  Deprivations which are not legally authorised will amount to a breach of Article 5 of the European Convention on Human Rights</w:t>
      </w:r>
      <w:r w:rsidRPr="007E6C3D">
        <w:rPr>
          <w:rFonts w:cs="Arial"/>
          <w:szCs w:val="24"/>
          <w:lang w:eastAsia="en-GB"/>
        </w:rPr>
        <w:t>.</w:t>
      </w:r>
      <w:r>
        <w:rPr>
          <w:rFonts w:cs="Arial"/>
          <w:szCs w:val="24"/>
          <w:lang w:eastAsia="en-GB"/>
        </w:rPr>
        <w:t xml:space="preserve"> If you feel that the person is no</w:t>
      </w:r>
      <w:r w:rsidRPr="007E6C3D">
        <w:rPr>
          <w:rFonts w:cs="Arial"/>
          <w:szCs w:val="24"/>
          <w:lang w:eastAsia="en-GB"/>
        </w:rPr>
        <w:t>t deprived of their liberty, we suggest that you record this in their file with the reasons for your decision.</w:t>
      </w:r>
    </w:p>
    <w:p w:rsidR="00646A31" w:rsidRDefault="00646A31" w:rsidP="009E3A69">
      <w:pPr>
        <w:spacing w:line="276" w:lineRule="auto"/>
        <w:rPr>
          <w:rFonts w:cs="Arial"/>
          <w:szCs w:val="24"/>
          <w:lang w:eastAsia="en-GB"/>
        </w:rPr>
      </w:pPr>
    </w:p>
    <w:p w:rsidR="00646A31" w:rsidRDefault="00646A31" w:rsidP="009E3A69">
      <w:pPr>
        <w:spacing w:line="276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It is important to note that provision of care must continue and takes priority.</w:t>
      </w:r>
    </w:p>
    <w:p w:rsidR="009E3A69" w:rsidRDefault="009E3A69" w:rsidP="009E3A69">
      <w:pPr>
        <w:spacing w:line="276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 </w:t>
      </w:r>
    </w:p>
    <w:p w:rsidR="00752151" w:rsidRDefault="009E3A69" w:rsidP="009E3A69">
      <w:pPr>
        <w:spacing w:line="276" w:lineRule="auto"/>
        <w:rPr>
          <w:rFonts w:cs="Arial"/>
          <w:b/>
          <w:szCs w:val="24"/>
          <w:lang w:eastAsia="en-GB"/>
        </w:rPr>
      </w:pPr>
      <w:r w:rsidRPr="00646A31">
        <w:rPr>
          <w:rFonts w:cs="Arial"/>
          <w:b/>
          <w:szCs w:val="24"/>
          <w:lang w:eastAsia="en-GB"/>
        </w:rPr>
        <w:t>In the first instance</w:t>
      </w:r>
      <w:r w:rsidR="007C7513" w:rsidRPr="00646A31">
        <w:rPr>
          <w:rFonts w:cs="Arial"/>
          <w:b/>
          <w:szCs w:val="24"/>
          <w:lang w:eastAsia="en-GB"/>
        </w:rPr>
        <w:t>,</w:t>
      </w:r>
      <w:r w:rsidRPr="00646A31">
        <w:rPr>
          <w:rFonts w:cs="Arial"/>
          <w:b/>
          <w:szCs w:val="24"/>
          <w:lang w:eastAsia="en-GB"/>
        </w:rPr>
        <w:t xml:space="preserve"> please </w:t>
      </w:r>
      <w:proofErr w:type="gramStart"/>
      <w:r w:rsidRPr="00646A31">
        <w:rPr>
          <w:rFonts w:cs="Arial"/>
          <w:b/>
          <w:szCs w:val="24"/>
          <w:lang w:eastAsia="en-GB"/>
        </w:rPr>
        <w:t>cont</w:t>
      </w:r>
      <w:r w:rsidR="007C7513" w:rsidRPr="00646A31">
        <w:rPr>
          <w:rFonts w:cs="Arial"/>
          <w:b/>
          <w:szCs w:val="24"/>
          <w:lang w:eastAsia="en-GB"/>
        </w:rPr>
        <w:t>act</w:t>
      </w:r>
      <w:r w:rsidR="00752151">
        <w:rPr>
          <w:rFonts w:cs="Arial"/>
          <w:b/>
          <w:szCs w:val="24"/>
          <w:lang w:eastAsia="en-GB"/>
        </w:rPr>
        <w:t xml:space="preserve"> ???</w:t>
      </w:r>
      <w:proofErr w:type="gramEnd"/>
    </w:p>
    <w:p w:rsidR="00752151" w:rsidRDefault="00752151" w:rsidP="009E3A69">
      <w:pPr>
        <w:spacing w:line="276" w:lineRule="auto"/>
        <w:rPr>
          <w:rFonts w:cs="Arial"/>
          <w:b/>
          <w:szCs w:val="24"/>
          <w:lang w:eastAsia="en-GB"/>
        </w:rPr>
      </w:pPr>
    </w:p>
    <w:p w:rsidR="009E3A69" w:rsidRDefault="009E3A69" w:rsidP="009E3A69">
      <w:pPr>
        <w:spacing w:line="276" w:lineRule="auto"/>
      </w:pPr>
      <w:r>
        <w:t xml:space="preserve">In order to ensure you have easy access to important additional information, </w:t>
      </w:r>
      <w:r w:rsidR="00C11EB6">
        <w:t>we</w:t>
      </w:r>
      <w:r>
        <w:t xml:space="preserve"> enclose a simple flow chart to help you work out whether someone is deprived of their liberty and a new briefing from CQC on Deprivation of Liberty Safeguards in the light of the Supreme Court judgment. You can also get more information from the following links:</w:t>
      </w:r>
    </w:p>
    <w:p w:rsidR="009E3A69" w:rsidRDefault="009E3A69" w:rsidP="009E3A69">
      <w:pPr>
        <w:spacing w:line="276" w:lineRule="auto"/>
      </w:pPr>
    </w:p>
    <w:p w:rsidR="009E3A69" w:rsidRPr="004C749C" w:rsidRDefault="009E3A69" w:rsidP="009E3A69">
      <w:pPr>
        <w:spacing w:line="276" w:lineRule="auto"/>
        <w:rPr>
          <w:b/>
        </w:rPr>
      </w:pPr>
      <w:r w:rsidRPr="004C749C">
        <w:rPr>
          <w:b/>
        </w:rPr>
        <w:t xml:space="preserve">Supreme Court Judgment: </w:t>
      </w:r>
    </w:p>
    <w:p w:rsidR="009E3A69" w:rsidRDefault="004575A8" w:rsidP="009E3A69">
      <w:pPr>
        <w:spacing w:line="276" w:lineRule="auto"/>
      </w:pPr>
      <w:hyperlink r:id="rId8" w:history="1">
        <w:r w:rsidR="009E3A69" w:rsidRPr="00D06CBB">
          <w:rPr>
            <w:rStyle w:val="Hyperlink"/>
          </w:rPr>
          <w:t>http://supremecourt.uk/decided-cases/docs/UKSC_2012_0068_Judgment.pdf</w:t>
        </w:r>
      </w:hyperlink>
    </w:p>
    <w:p w:rsidR="009E3A69" w:rsidRDefault="009E3A69" w:rsidP="009E3A69">
      <w:pPr>
        <w:spacing w:line="276" w:lineRule="auto"/>
      </w:pPr>
      <w:r>
        <w:t>Supreme Court Judgment Press Release summarising the judgment</w:t>
      </w:r>
    </w:p>
    <w:p w:rsidR="009E3A69" w:rsidRDefault="004575A8" w:rsidP="009E3A69">
      <w:pPr>
        <w:spacing w:line="276" w:lineRule="auto"/>
      </w:pPr>
      <w:hyperlink r:id="rId9" w:history="1">
        <w:r w:rsidR="009E3A69" w:rsidRPr="00D06CBB">
          <w:rPr>
            <w:rStyle w:val="Hyperlink"/>
          </w:rPr>
          <w:t>http://supremecourt.uk/decided-cases/docs/UKSC_2012_0068_PressSummary.pdf</w:t>
        </w:r>
      </w:hyperlink>
    </w:p>
    <w:p w:rsidR="009E3A69" w:rsidRDefault="009E3A69" w:rsidP="009E3A69">
      <w:pPr>
        <w:spacing w:line="276" w:lineRule="auto"/>
      </w:pPr>
    </w:p>
    <w:p w:rsidR="009E3A69" w:rsidRDefault="009E3A69" w:rsidP="009E3A69">
      <w:pPr>
        <w:spacing w:line="276" w:lineRule="auto"/>
        <w:rPr>
          <w:b/>
        </w:rPr>
      </w:pPr>
      <w:r>
        <w:rPr>
          <w:b/>
        </w:rPr>
        <w:t>House of Lords Review of Mental Capacity Act and Deprivation of Liberty Safeguards published in March 2014</w:t>
      </w:r>
    </w:p>
    <w:p w:rsidR="009E3A69" w:rsidRDefault="004575A8" w:rsidP="009E3A69">
      <w:hyperlink r:id="rId10" w:history="1">
        <w:r w:rsidR="009E3A69" w:rsidRPr="00500C75">
          <w:rPr>
            <w:rStyle w:val="Hyperlink"/>
          </w:rPr>
          <w:t>http://Publications.parliament.uk/pa/ld2014/ldselect/ldmentalcap/139/139.pdf</w:t>
        </w:r>
      </w:hyperlink>
    </w:p>
    <w:p w:rsidR="009E3A69" w:rsidRDefault="009E3A69" w:rsidP="009E3A69">
      <w:pPr>
        <w:rPr>
          <w:bCs/>
        </w:rPr>
      </w:pPr>
    </w:p>
    <w:p w:rsidR="009C391A" w:rsidRDefault="009C391A" w:rsidP="007C7513">
      <w:pPr>
        <w:jc w:val="center"/>
        <w:rPr>
          <w:rFonts w:cs="Arial"/>
          <w:szCs w:val="24"/>
          <w:lang w:val="en-US"/>
        </w:rPr>
      </w:pPr>
    </w:p>
    <w:p w:rsidR="00D8601E" w:rsidRDefault="009C391A" w:rsidP="007C7513">
      <w:pPr>
        <w:jc w:val="center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Y</w:t>
      </w:r>
      <w:r w:rsidR="009E3A69">
        <w:rPr>
          <w:rFonts w:cs="Arial"/>
          <w:szCs w:val="24"/>
          <w:lang w:val="en-US"/>
        </w:rPr>
        <w:t>ours sincerely</w:t>
      </w:r>
    </w:p>
    <w:p w:rsidR="00D8601E" w:rsidRDefault="00D8601E" w:rsidP="007C7513">
      <w:pPr>
        <w:jc w:val="center"/>
        <w:rPr>
          <w:rFonts w:cs="Arial"/>
          <w:szCs w:val="24"/>
          <w:lang w:val="en-US"/>
        </w:rPr>
      </w:pPr>
    </w:p>
    <w:p w:rsidR="009E3A69" w:rsidRDefault="009E3A69" w:rsidP="006812D2">
      <w:pPr>
        <w:jc w:val="center"/>
        <w:rPr>
          <w:rFonts w:cs="Arial"/>
          <w:szCs w:val="24"/>
          <w:lang w:val="en-US"/>
        </w:rPr>
      </w:pPr>
    </w:p>
    <w:sectPr w:rsidR="009E3A69" w:rsidSect="009E3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454" w:right="1134" w:bottom="567" w:left="1134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15" w:rsidRDefault="00662215" w:rsidP="007A7D10">
      <w:r>
        <w:separator/>
      </w:r>
    </w:p>
  </w:endnote>
  <w:endnote w:type="continuationSeparator" w:id="0">
    <w:p w:rsidR="00662215" w:rsidRDefault="00662215" w:rsidP="007A7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10" w:rsidRDefault="007A7D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10" w:rsidRDefault="007A7D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10" w:rsidRDefault="007A7D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15" w:rsidRDefault="00662215" w:rsidP="007A7D10">
      <w:r>
        <w:separator/>
      </w:r>
    </w:p>
  </w:footnote>
  <w:footnote w:type="continuationSeparator" w:id="0">
    <w:p w:rsidR="00662215" w:rsidRDefault="00662215" w:rsidP="007A7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10" w:rsidRDefault="007A7D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45313"/>
      <w:docPartObj>
        <w:docPartGallery w:val="Watermarks"/>
        <w:docPartUnique/>
      </w:docPartObj>
    </w:sdtPr>
    <w:sdtContent>
      <w:p w:rsidR="007A7D10" w:rsidRDefault="004575A8">
        <w:pPr>
          <w:pStyle w:val="Header"/>
        </w:pPr>
        <w:r w:rsidRPr="004575A8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10" w:rsidRDefault="007A7D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3D23"/>
    <w:multiLevelType w:val="hybridMultilevel"/>
    <w:tmpl w:val="4A70FE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E3A69"/>
    <w:rsid w:val="00003A24"/>
    <w:rsid w:val="000240F9"/>
    <w:rsid w:val="0007271E"/>
    <w:rsid w:val="0007362B"/>
    <w:rsid w:val="000C580D"/>
    <w:rsid w:val="000E59E5"/>
    <w:rsid w:val="001E4A51"/>
    <w:rsid w:val="002059D8"/>
    <w:rsid w:val="002A45E2"/>
    <w:rsid w:val="00326DE1"/>
    <w:rsid w:val="003E1352"/>
    <w:rsid w:val="004575A8"/>
    <w:rsid w:val="004F08DC"/>
    <w:rsid w:val="00572056"/>
    <w:rsid w:val="005F1300"/>
    <w:rsid w:val="005F3366"/>
    <w:rsid w:val="00640DA1"/>
    <w:rsid w:val="00646A31"/>
    <w:rsid w:val="00662215"/>
    <w:rsid w:val="006812D2"/>
    <w:rsid w:val="0069358C"/>
    <w:rsid w:val="00752151"/>
    <w:rsid w:val="007A7D10"/>
    <w:rsid w:val="007C7513"/>
    <w:rsid w:val="007E0482"/>
    <w:rsid w:val="00861EAC"/>
    <w:rsid w:val="008B6884"/>
    <w:rsid w:val="008F633C"/>
    <w:rsid w:val="009C391A"/>
    <w:rsid w:val="009E3A69"/>
    <w:rsid w:val="00A92E39"/>
    <w:rsid w:val="00B532E0"/>
    <w:rsid w:val="00B67AAD"/>
    <w:rsid w:val="00C11EB6"/>
    <w:rsid w:val="00CF3F3A"/>
    <w:rsid w:val="00D8601E"/>
    <w:rsid w:val="00E34FC4"/>
    <w:rsid w:val="00F36CD9"/>
    <w:rsid w:val="00FF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E3A6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A6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unhideWhenUsed/>
    <w:rsid w:val="009E3A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A7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D1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A7D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D1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remecourt.uk/decided-cases/docs/UKSC_2012_0068_Judgment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Publications.parliament.uk/pa/ld2014/ldselect/ldmentalcap/139/13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remecourt.uk/decided-cases/docs/UKSC_2012_0068_PressSummary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3F0E0-7D5D-4876-9D10-F068296E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rhmainwaring</dc:creator>
  <cp:keywords/>
  <dc:description/>
  <cp:lastModifiedBy>nboor</cp:lastModifiedBy>
  <cp:revision>2</cp:revision>
  <cp:lastPrinted>2014-05-14T14:46:00Z</cp:lastPrinted>
  <dcterms:created xsi:type="dcterms:W3CDTF">2014-08-04T15:23:00Z</dcterms:created>
  <dcterms:modified xsi:type="dcterms:W3CDTF">2014-08-06T13:43:00Z</dcterms:modified>
</cp:coreProperties>
</file>