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3BAA" w14:textId="387146D9" w:rsidR="00A52404" w:rsidRPr="000E3B9A" w:rsidRDefault="00A52404" w:rsidP="00A52404">
      <w:pPr>
        <w:pStyle w:val="NormalWeb"/>
        <w:spacing w:line="360" w:lineRule="atLeast"/>
        <w:rPr>
          <w:rFonts w:ascii="Arial" w:hAnsi="Arial" w:cs="Arial"/>
          <w:sz w:val="22"/>
          <w:szCs w:val="22"/>
        </w:rPr>
      </w:pPr>
      <w:r w:rsidRPr="000E3B9A">
        <w:rPr>
          <w:rFonts w:ascii="Arial" w:hAnsi="Arial" w:cs="Arial"/>
          <w:sz w:val="22"/>
          <w:szCs w:val="22"/>
        </w:rPr>
        <w:t xml:space="preserve">Health Impact Assessment (HIA) is a practical approach used to judge the potential health effects of a policy, </w:t>
      </w:r>
      <w:r w:rsidR="00435429" w:rsidRPr="000E3B9A">
        <w:rPr>
          <w:rFonts w:ascii="Arial" w:hAnsi="Arial" w:cs="Arial"/>
          <w:sz w:val="22"/>
          <w:szCs w:val="22"/>
        </w:rPr>
        <w:t>programme,</w:t>
      </w:r>
      <w:r w:rsidRPr="000E3B9A">
        <w:rPr>
          <w:rFonts w:ascii="Arial" w:hAnsi="Arial" w:cs="Arial"/>
          <w:sz w:val="22"/>
          <w:szCs w:val="22"/>
        </w:rPr>
        <w:t xml:space="preserve"> or project on a population,</w:t>
      </w:r>
      <w:r w:rsidR="001B24F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B24F5">
        <w:rPr>
          <w:rFonts w:ascii="Arial" w:hAnsi="Arial" w:cs="Arial"/>
          <w:sz w:val="22"/>
          <w:szCs w:val="22"/>
        </w:rPr>
        <w:t xml:space="preserve">and in particular, </w:t>
      </w:r>
      <w:r w:rsidRPr="000E3B9A">
        <w:rPr>
          <w:rFonts w:ascii="Arial" w:hAnsi="Arial" w:cs="Arial"/>
          <w:sz w:val="22"/>
          <w:szCs w:val="22"/>
        </w:rPr>
        <w:t>on</w:t>
      </w:r>
      <w:proofErr w:type="gramEnd"/>
      <w:r w:rsidRPr="000E3B9A">
        <w:rPr>
          <w:rFonts w:ascii="Arial" w:hAnsi="Arial" w:cs="Arial"/>
          <w:sz w:val="22"/>
          <w:szCs w:val="22"/>
        </w:rPr>
        <w:t xml:space="preserve"> vulnerable or disadvantaged groups.</w:t>
      </w:r>
      <w:r w:rsidR="00433F5B" w:rsidRPr="000E3B9A">
        <w:rPr>
          <w:rFonts w:ascii="Arial" w:hAnsi="Arial" w:cs="Arial"/>
          <w:sz w:val="22"/>
          <w:szCs w:val="22"/>
        </w:rPr>
        <w:t xml:space="preserve"> The aim is to make recommendations which maximise the proposal’s potential health benefits and minimises any health disbenefits.  </w:t>
      </w:r>
    </w:p>
    <w:p w14:paraId="3D577ED0" w14:textId="680E876A" w:rsidR="00B419E2" w:rsidRPr="001B24F5" w:rsidRDefault="00B419E2" w:rsidP="00A52404">
      <w:pPr>
        <w:pStyle w:val="NormalWeb"/>
        <w:spacing w:line="360" w:lineRule="atLeast"/>
        <w:rPr>
          <w:rFonts w:ascii="Arial" w:hAnsi="Arial" w:cs="Arial"/>
          <w:sz w:val="22"/>
          <w:szCs w:val="22"/>
        </w:rPr>
      </w:pPr>
      <w:r w:rsidRPr="001B24F5">
        <w:rPr>
          <w:rFonts w:ascii="Arial" w:hAnsi="Arial" w:cs="Arial"/>
          <w:sz w:val="22"/>
          <w:szCs w:val="22"/>
        </w:rPr>
        <w:t>This template provides an example of a Rapid HIA which therefore requires a light-touch approach, but more resource-intensive HIAs can be undertaken.</w:t>
      </w:r>
    </w:p>
    <w:p w14:paraId="23379979" w14:textId="3FBAD969" w:rsidR="001B24F5" w:rsidRPr="001B24F5" w:rsidRDefault="00E469E1" w:rsidP="009F7BA8">
      <w:pPr>
        <w:spacing w:before="100" w:beforeAutospacing="1" w:after="100" w:afterAutospacing="1" w:line="360" w:lineRule="atLeast"/>
        <w:rPr>
          <w:rFonts w:ascii="Arial" w:eastAsia="Times New Roman" w:hAnsi="Arial" w:cs="Arial"/>
          <w:lang w:eastAsia="en-GB"/>
        </w:rPr>
      </w:pPr>
      <w:r w:rsidRPr="001B24F5">
        <w:rPr>
          <w:rFonts w:ascii="Arial" w:eastAsia="Times New Roman" w:hAnsi="Arial" w:cs="Arial"/>
          <w:lang w:eastAsia="en-GB"/>
        </w:rPr>
        <w:t xml:space="preserve">For the </w:t>
      </w:r>
      <w:r w:rsidR="001B24F5">
        <w:rPr>
          <w:rFonts w:ascii="Arial" w:eastAsia="Times New Roman" w:hAnsi="Arial" w:cs="Arial"/>
          <w:lang w:eastAsia="en-GB"/>
        </w:rPr>
        <w:t xml:space="preserve">proposal or </w:t>
      </w:r>
      <w:proofErr w:type="gramStart"/>
      <w:r w:rsidR="001B24F5">
        <w:rPr>
          <w:rFonts w:ascii="Arial" w:eastAsia="Times New Roman" w:hAnsi="Arial" w:cs="Arial"/>
          <w:lang w:eastAsia="en-GB"/>
        </w:rPr>
        <w:t>project</w:t>
      </w:r>
      <w:proofErr w:type="gramEnd"/>
      <w:r w:rsidRPr="001B24F5">
        <w:rPr>
          <w:rFonts w:ascii="Arial" w:eastAsia="Times New Roman" w:hAnsi="Arial" w:cs="Arial"/>
          <w:lang w:eastAsia="en-GB"/>
        </w:rPr>
        <w:t xml:space="preserve"> you are thinking of, p</w:t>
      </w:r>
      <w:r w:rsidR="005A6881" w:rsidRPr="001B24F5">
        <w:rPr>
          <w:rFonts w:ascii="Arial" w:eastAsia="Times New Roman" w:hAnsi="Arial" w:cs="Arial"/>
          <w:lang w:eastAsia="en-GB"/>
        </w:rPr>
        <w:t xml:space="preserve">lease consider the guidance below and use the space provided to respond. </w:t>
      </w:r>
      <w:r w:rsidR="001B24F5">
        <w:rPr>
          <w:rFonts w:ascii="Arial" w:eastAsia="Times New Roman" w:hAnsi="Arial" w:cs="Arial"/>
          <w:lang w:eastAsia="en-GB"/>
        </w:rPr>
        <w:t xml:space="preserve">You may find the </w:t>
      </w:r>
      <w:hyperlink r:id="rId8" w:anchor="main" w:history="1">
        <w:r w:rsidR="001B24F5" w:rsidRPr="001B24F5">
          <w:rPr>
            <w:rStyle w:val="Hyperlink"/>
            <w:rFonts w:ascii="Arial" w:eastAsia="Times New Roman" w:hAnsi="Arial" w:cs="Arial"/>
            <w:lang w:eastAsia="en-GB"/>
          </w:rPr>
          <w:t>Suggested Data Sources for HIA</w:t>
        </w:r>
      </w:hyperlink>
      <w:r w:rsidR="001B24F5">
        <w:rPr>
          <w:rFonts w:ascii="Arial" w:eastAsia="Times New Roman" w:hAnsi="Arial" w:cs="Arial"/>
          <w:lang w:eastAsia="en-GB"/>
        </w:rPr>
        <w:t xml:space="preserve"> </w:t>
      </w:r>
      <w:r w:rsidR="005046EE">
        <w:rPr>
          <w:rFonts w:ascii="Arial" w:eastAsia="Times New Roman" w:hAnsi="Arial" w:cs="Arial"/>
          <w:lang w:eastAsia="en-GB"/>
        </w:rPr>
        <w:t xml:space="preserve">page </w:t>
      </w:r>
      <w:r w:rsidR="001B24F5">
        <w:rPr>
          <w:rFonts w:ascii="Arial" w:eastAsia="Times New Roman" w:hAnsi="Arial" w:cs="Arial"/>
          <w:lang w:eastAsia="en-GB"/>
        </w:rPr>
        <w:t xml:space="preserve">helpful.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5203B" w:rsidRPr="000E3B9A" w14:paraId="27C610F5" w14:textId="77777777" w:rsidTr="0055203B">
        <w:tc>
          <w:tcPr>
            <w:tcW w:w="13948" w:type="dxa"/>
            <w:shd w:val="clear" w:color="auto" w:fill="B8CCE4" w:themeFill="accent1" w:themeFillTint="66"/>
          </w:tcPr>
          <w:p w14:paraId="56842D2E" w14:textId="6CBD2BAF" w:rsidR="0055203B" w:rsidRPr="0055203B" w:rsidRDefault="0055203B" w:rsidP="00E469E1">
            <w:pPr>
              <w:pStyle w:val="NormalWeb"/>
              <w:spacing w:line="3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2BC5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="00CB2BC5">
              <w:rPr>
                <w:rFonts w:ascii="Arial" w:hAnsi="Arial" w:cs="Arial"/>
                <w:sz w:val="22"/>
                <w:szCs w:val="22"/>
                <w:u w:val="single"/>
              </w:rPr>
              <w:t>TEP</w:t>
            </w:r>
            <w:r w:rsidRPr="00CB2BC5">
              <w:rPr>
                <w:rFonts w:ascii="Arial" w:hAnsi="Arial" w:cs="Arial"/>
                <w:sz w:val="22"/>
                <w:szCs w:val="22"/>
                <w:u w:val="single"/>
              </w:rPr>
              <w:t xml:space="preserve"> 1</w:t>
            </w:r>
            <w:r w:rsidRPr="00CB2BC5">
              <w:rPr>
                <w:rFonts w:ascii="Arial" w:hAnsi="Arial" w:cs="Arial"/>
                <w:sz w:val="22"/>
                <w:szCs w:val="22"/>
              </w:rPr>
              <w:t>:</w:t>
            </w:r>
            <w:r w:rsidRPr="00552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Screening - </w:t>
            </w:r>
            <w:r w:rsidRPr="0055203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Deciding whether to undertake a HIA</w:t>
            </w:r>
          </w:p>
        </w:tc>
      </w:tr>
      <w:tr w:rsidR="00E3537A" w:rsidRPr="000E3B9A" w14:paraId="5244C4A2" w14:textId="77777777" w:rsidTr="0029050A">
        <w:tc>
          <w:tcPr>
            <w:tcW w:w="13948" w:type="dxa"/>
          </w:tcPr>
          <w:p w14:paraId="7C854D43" w14:textId="44F3E55F" w:rsidR="00CD5E68" w:rsidRPr="001B24F5" w:rsidRDefault="00433F5B" w:rsidP="00E469E1">
            <w:pPr>
              <w:pStyle w:val="NormalWeb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1B24F5">
              <w:rPr>
                <w:rFonts w:ascii="Arial" w:hAnsi="Arial" w:cs="Arial"/>
                <w:sz w:val="22"/>
                <w:szCs w:val="22"/>
              </w:rPr>
              <w:t>Step</w:t>
            </w:r>
            <w:r w:rsidR="00CD5E68" w:rsidRPr="001B24F5">
              <w:rPr>
                <w:rFonts w:ascii="Arial" w:hAnsi="Arial" w:cs="Arial"/>
                <w:sz w:val="22"/>
                <w:szCs w:val="22"/>
              </w:rPr>
              <w:t xml:space="preserve"> back as early as possible </w:t>
            </w:r>
            <w:r w:rsidR="001B24F5" w:rsidRPr="001B24F5">
              <w:rPr>
                <w:rFonts w:ascii="Arial" w:hAnsi="Arial" w:cs="Arial"/>
                <w:sz w:val="22"/>
                <w:szCs w:val="22"/>
              </w:rPr>
              <w:t>to consider whether this proposal or project</w:t>
            </w:r>
            <w:r w:rsidR="001B24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24F5" w:rsidRPr="001B24F5">
              <w:rPr>
                <w:rFonts w:ascii="Arial" w:hAnsi="Arial" w:cs="Arial"/>
                <w:sz w:val="22"/>
                <w:szCs w:val="22"/>
              </w:rPr>
              <w:t>could</w:t>
            </w:r>
            <w:r w:rsidR="00CD5E68" w:rsidRPr="001B24F5">
              <w:rPr>
                <w:rFonts w:ascii="Arial" w:hAnsi="Arial" w:cs="Arial"/>
                <w:sz w:val="22"/>
                <w:szCs w:val="22"/>
              </w:rPr>
              <w:t xml:space="preserve"> have an impact on, or implications for, people’s health and well-being or any factors which determine </w:t>
            </w:r>
            <w:r w:rsidR="00FE76F0" w:rsidRPr="001B24F5">
              <w:rPr>
                <w:rFonts w:ascii="Arial" w:hAnsi="Arial" w:cs="Arial"/>
                <w:sz w:val="22"/>
                <w:szCs w:val="22"/>
              </w:rPr>
              <w:t>Gloucestershire residents’</w:t>
            </w:r>
            <w:r w:rsidR="00CD5E68" w:rsidRPr="001B24F5">
              <w:rPr>
                <w:rFonts w:ascii="Arial" w:hAnsi="Arial" w:cs="Arial"/>
                <w:sz w:val="22"/>
                <w:szCs w:val="22"/>
              </w:rPr>
              <w:t xml:space="preserve"> health</w:t>
            </w:r>
            <w:r w:rsidR="006C5B9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C5793" w:rsidRPr="001B24F5">
              <w:rPr>
                <w:rFonts w:ascii="Arial" w:hAnsi="Arial" w:cs="Arial"/>
                <w:sz w:val="22"/>
                <w:szCs w:val="22"/>
              </w:rPr>
              <w:t>This stage should not be conducted in isolation.</w:t>
            </w:r>
          </w:p>
          <w:p w14:paraId="10588E3E" w14:textId="44AED30A" w:rsidR="0042333E" w:rsidRPr="006C5B99" w:rsidRDefault="0042333E" w:rsidP="006C5B99">
            <w:pPr>
              <w:pStyle w:val="NormalWeb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6C5B99">
              <w:rPr>
                <w:rFonts w:ascii="Arial" w:hAnsi="Arial" w:cs="Arial"/>
                <w:sz w:val="22"/>
                <w:szCs w:val="22"/>
              </w:rPr>
              <w:t xml:space="preserve">Set up a </w:t>
            </w:r>
            <w:r w:rsidR="00CD5E68" w:rsidRPr="006C5B99">
              <w:rPr>
                <w:rFonts w:ascii="Arial" w:hAnsi="Arial" w:cs="Arial"/>
                <w:sz w:val="22"/>
                <w:szCs w:val="22"/>
              </w:rPr>
              <w:t xml:space="preserve">Screening </w:t>
            </w:r>
            <w:r w:rsidRPr="006C5B99">
              <w:rPr>
                <w:rFonts w:ascii="Arial" w:hAnsi="Arial" w:cs="Arial"/>
                <w:sz w:val="22"/>
                <w:szCs w:val="22"/>
              </w:rPr>
              <w:t>group:</w:t>
            </w:r>
          </w:p>
          <w:p w14:paraId="42312D5A" w14:textId="39B07CBB" w:rsidR="0042333E" w:rsidRPr="000E3B9A" w:rsidRDefault="0042333E" w:rsidP="006B10E9">
            <w:pPr>
              <w:pStyle w:val="NormalWeb"/>
              <w:numPr>
                <w:ilvl w:val="2"/>
                <w:numId w:val="40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 xml:space="preserve">Think about </w:t>
            </w:r>
            <w:r w:rsidR="001B24F5">
              <w:rPr>
                <w:rFonts w:ascii="Arial" w:hAnsi="Arial" w:cs="Arial"/>
                <w:sz w:val="22"/>
                <w:szCs w:val="22"/>
              </w:rPr>
              <w:t xml:space="preserve">which </w:t>
            </w:r>
            <w:r w:rsidRPr="000E3B9A">
              <w:rPr>
                <w:rFonts w:ascii="Arial" w:hAnsi="Arial" w:cs="Arial"/>
                <w:sz w:val="22"/>
                <w:szCs w:val="22"/>
              </w:rPr>
              <w:t>relevant stakeholders to include in the screening stage</w:t>
            </w:r>
            <w:r w:rsidR="005C57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5C5793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="00CD5E68" w:rsidRPr="000E3B9A">
              <w:rPr>
                <w:rFonts w:ascii="Arial" w:hAnsi="Arial" w:cs="Arial"/>
                <w:sz w:val="22"/>
                <w:szCs w:val="22"/>
              </w:rPr>
              <w:t xml:space="preserve"> local authority representatives, public health professionals, an</w:t>
            </w:r>
            <w:r w:rsidRPr="000E3B9A">
              <w:rPr>
                <w:rFonts w:ascii="Arial" w:hAnsi="Arial" w:cs="Arial"/>
                <w:sz w:val="22"/>
                <w:szCs w:val="22"/>
              </w:rPr>
              <w:t>y</w:t>
            </w:r>
            <w:r w:rsidR="00CD5E68" w:rsidRPr="000E3B9A">
              <w:rPr>
                <w:rFonts w:ascii="Arial" w:hAnsi="Arial" w:cs="Arial"/>
                <w:sz w:val="22"/>
                <w:szCs w:val="22"/>
              </w:rPr>
              <w:t xml:space="preserve"> relevant experts</w:t>
            </w:r>
            <w:r w:rsidRPr="000E3B9A">
              <w:rPr>
                <w:rFonts w:ascii="Arial" w:hAnsi="Arial" w:cs="Arial"/>
                <w:sz w:val="22"/>
                <w:szCs w:val="22"/>
              </w:rPr>
              <w:t>/</w:t>
            </w:r>
            <w:r w:rsidR="00CD5E68" w:rsidRPr="000E3B9A">
              <w:rPr>
                <w:rFonts w:ascii="Arial" w:hAnsi="Arial" w:cs="Arial"/>
                <w:sz w:val="22"/>
                <w:szCs w:val="22"/>
              </w:rPr>
              <w:t>representatives from key stakeholder groups, community and voluntary sector members.</w:t>
            </w:r>
            <w:r w:rsidR="00645C0B" w:rsidRPr="000E3B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3B9A">
              <w:rPr>
                <w:rFonts w:ascii="Arial" w:hAnsi="Arial" w:cs="Arial"/>
                <w:sz w:val="22"/>
                <w:szCs w:val="22"/>
              </w:rPr>
              <w:t>Screening can be done through meeting individually or together</w:t>
            </w:r>
            <w:r w:rsidR="00645C0B" w:rsidRPr="000E3B9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78D606" w14:textId="77777777" w:rsidR="006C5B99" w:rsidRDefault="006B10E9" w:rsidP="006C5B99">
            <w:pPr>
              <w:pStyle w:val="NormalWeb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6C5B99">
              <w:rPr>
                <w:rFonts w:ascii="Arial" w:hAnsi="Arial" w:cs="Arial"/>
                <w:sz w:val="22"/>
                <w:szCs w:val="22"/>
              </w:rPr>
              <w:t>Provide stakeholders with:</w:t>
            </w:r>
          </w:p>
          <w:p w14:paraId="77D7D039" w14:textId="3AFE2907" w:rsidR="0042333E" w:rsidRPr="006C5B99" w:rsidRDefault="0042333E" w:rsidP="006C5B99">
            <w:pPr>
              <w:pStyle w:val="NormalWeb"/>
              <w:numPr>
                <w:ilvl w:val="2"/>
                <w:numId w:val="40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6C5B99">
              <w:rPr>
                <w:rFonts w:ascii="Arial" w:hAnsi="Arial" w:cs="Arial"/>
                <w:sz w:val="22"/>
                <w:szCs w:val="22"/>
              </w:rPr>
              <w:t>D</w:t>
            </w:r>
            <w:r w:rsidR="00CD5E68" w:rsidRPr="006C5B99">
              <w:rPr>
                <w:rFonts w:ascii="Arial" w:hAnsi="Arial" w:cs="Arial"/>
                <w:sz w:val="22"/>
                <w:szCs w:val="22"/>
              </w:rPr>
              <w:t>escription</w:t>
            </w:r>
            <w:r w:rsidR="009A6332" w:rsidRPr="006C5B99">
              <w:rPr>
                <w:rFonts w:ascii="Arial" w:hAnsi="Arial" w:cs="Arial"/>
                <w:sz w:val="22"/>
                <w:szCs w:val="22"/>
              </w:rPr>
              <w:t>s</w:t>
            </w:r>
            <w:r w:rsidR="00CD5E68" w:rsidRPr="006C5B99">
              <w:rPr>
                <w:rFonts w:ascii="Arial" w:hAnsi="Arial" w:cs="Arial"/>
                <w:sz w:val="22"/>
                <w:szCs w:val="22"/>
              </w:rPr>
              <w:t xml:space="preserve"> of the proposal and its rationale, aims and </w:t>
            </w:r>
            <w:r w:rsidR="006B10E9" w:rsidRPr="006C5B99">
              <w:rPr>
                <w:rFonts w:ascii="Arial" w:hAnsi="Arial" w:cs="Arial"/>
                <w:sz w:val="22"/>
                <w:szCs w:val="22"/>
              </w:rPr>
              <w:t>objectives.</w:t>
            </w:r>
          </w:p>
          <w:p w14:paraId="2AF8BD34" w14:textId="6A387A0E" w:rsidR="0042333E" w:rsidRPr="000E3B9A" w:rsidRDefault="0042333E" w:rsidP="006B10E9">
            <w:pPr>
              <w:pStyle w:val="NormalWeb"/>
              <w:numPr>
                <w:ilvl w:val="2"/>
                <w:numId w:val="40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>A</w:t>
            </w:r>
            <w:r w:rsidR="00CD5E68" w:rsidRPr="000E3B9A">
              <w:rPr>
                <w:rFonts w:ascii="Arial" w:hAnsi="Arial" w:cs="Arial"/>
                <w:sz w:val="22"/>
                <w:szCs w:val="22"/>
              </w:rPr>
              <w:t xml:space="preserve"> basic profile of the people living in </w:t>
            </w:r>
            <w:r w:rsidR="00CD5E68" w:rsidRPr="009A6332">
              <w:rPr>
                <w:rFonts w:ascii="Arial" w:hAnsi="Arial" w:cs="Arial"/>
                <w:sz w:val="22"/>
                <w:szCs w:val="22"/>
              </w:rPr>
              <w:t>the population</w:t>
            </w:r>
            <w:r w:rsidR="009A6332" w:rsidRPr="009A6332">
              <w:rPr>
                <w:rFonts w:ascii="Arial" w:hAnsi="Arial" w:cs="Arial"/>
                <w:sz w:val="22"/>
                <w:szCs w:val="22"/>
              </w:rPr>
              <w:t>/</w:t>
            </w:r>
            <w:r w:rsidR="0066775E" w:rsidRPr="009A6332">
              <w:rPr>
                <w:rFonts w:ascii="Arial" w:hAnsi="Arial" w:cs="Arial"/>
                <w:sz w:val="22"/>
                <w:szCs w:val="22"/>
              </w:rPr>
              <w:t>groups/</w:t>
            </w:r>
            <w:r w:rsidR="00CD5E68" w:rsidRPr="009A6332">
              <w:rPr>
                <w:rFonts w:ascii="Arial" w:hAnsi="Arial" w:cs="Arial"/>
                <w:sz w:val="22"/>
                <w:szCs w:val="22"/>
              </w:rPr>
              <w:t>area</w:t>
            </w:r>
            <w:r w:rsidR="0066775E" w:rsidRPr="009A6332">
              <w:rPr>
                <w:rFonts w:ascii="Arial" w:hAnsi="Arial" w:cs="Arial"/>
                <w:sz w:val="22"/>
                <w:szCs w:val="22"/>
              </w:rPr>
              <w:t>s</w:t>
            </w:r>
            <w:r w:rsidR="00CD5E68" w:rsidRPr="009A6332">
              <w:rPr>
                <w:rFonts w:ascii="Arial" w:hAnsi="Arial" w:cs="Arial"/>
                <w:sz w:val="22"/>
                <w:szCs w:val="22"/>
              </w:rPr>
              <w:t xml:space="preserve"> likely </w:t>
            </w:r>
            <w:r w:rsidR="00CD5E68" w:rsidRPr="000E3B9A">
              <w:rPr>
                <w:rFonts w:ascii="Arial" w:hAnsi="Arial" w:cs="Arial"/>
                <w:sz w:val="22"/>
                <w:szCs w:val="22"/>
              </w:rPr>
              <w:t>to be affected</w:t>
            </w:r>
            <w:r w:rsidRPr="000E3B9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FA1D59" w14:textId="50EE5261" w:rsidR="00CD5E68" w:rsidRPr="009A6332" w:rsidRDefault="0042333E" w:rsidP="006B10E9">
            <w:pPr>
              <w:pStyle w:val="NormalWeb"/>
              <w:numPr>
                <w:ilvl w:val="2"/>
                <w:numId w:val="40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lastRenderedPageBreak/>
              <w:t>An overview of the HIA process and the screening questions to be answered</w:t>
            </w:r>
            <w:r w:rsidR="009A6332">
              <w:rPr>
                <w:rFonts w:ascii="Arial" w:hAnsi="Arial" w:cs="Arial"/>
                <w:sz w:val="22"/>
                <w:szCs w:val="22"/>
              </w:rPr>
              <w:t xml:space="preserve"> (see below)</w:t>
            </w:r>
          </w:p>
        </w:tc>
      </w:tr>
      <w:tr w:rsidR="00E3537A" w:rsidRPr="000E3B9A" w14:paraId="1735293B" w14:textId="77777777" w:rsidTr="0029050A">
        <w:tc>
          <w:tcPr>
            <w:tcW w:w="13948" w:type="dxa"/>
          </w:tcPr>
          <w:p w14:paraId="45FE956B" w14:textId="77777777" w:rsidR="00E37DEE" w:rsidRPr="000E3B9A" w:rsidRDefault="00E37DEE" w:rsidP="00E3537A">
            <w:pPr>
              <w:rPr>
                <w:rFonts w:ascii="Arial" w:hAnsi="Arial" w:cs="Arial"/>
              </w:rPr>
            </w:pPr>
          </w:p>
          <w:p w14:paraId="52A36D54" w14:textId="3793F4D4" w:rsidR="00E469E1" w:rsidRPr="000E3B9A" w:rsidRDefault="009A6332" w:rsidP="00E353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With stakeholders, answer these screening questions</w:t>
            </w:r>
            <w:r w:rsidR="00E469E1" w:rsidRPr="000E3B9A">
              <w:rPr>
                <w:rFonts w:ascii="Arial" w:hAnsi="Arial" w:cs="Arial"/>
                <w:b/>
                <w:bCs/>
              </w:rPr>
              <w:t>:</w:t>
            </w:r>
          </w:p>
          <w:p w14:paraId="19DB160A" w14:textId="77777777" w:rsidR="00E469E1" w:rsidRPr="000E3B9A" w:rsidRDefault="00E469E1" w:rsidP="00E3537A">
            <w:pPr>
              <w:rPr>
                <w:rFonts w:ascii="Arial" w:hAnsi="Arial" w:cs="Arial"/>
                <w:b/>
                <w:bCs/>
              </w:rPr>
            </w:pPr>
          </w:p>
          <w:p w14:paraId="3258FCA3" w14:textId="5D490F7B" w:rsidR="00E3537A" w:rsidRPr="000E3B9A" w:rsidRDefault="00E3537A" w:rsidP="009A6332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</w:rPr>
            </w:pPr>
            <w:r w:rsidRPr="000E3B9A">
              <w:rPr>
                <w:rFonts w:ascii="Arial" w:hAnsi="Arial" w:cs="Arial"/>
                <w:b/>
                <w:bCs/>
              </w:rPr>
              <w:t>Could this proposal or project have implications (direct or indirect) for people’s health and wellbeing (including mental health and wellbeing) in Gloucestershire?</w:t>
            </w:r>
          </w:p>
          <w:p w14:paraId="707013BF" w14:textId="0B0128BC" w:rsidR="00E469E1" w:rsidRPr="000E3B9A" w:rsidRDefault="00E469E1" w:rsidP="009A6332">
            <w:pPr>
              <w:pStyle w:val="NormalWeb"/>
              <w:numPr>
                <w:ilvl w:val="0"/>
                <w:numId w:val="42"/>
              </w:numPr>
              <w:spacing w:line="3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3B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Which sections of the population, </w:t>
            </w:r>
            <w:r w:rsidR="001B24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and, which </w:t>
            </w:r>
            <w:r w:rsidRPr="000E3B9A">
              <w:rPr>
                <w:rFonts w:ascii="Arial" w:hAnsi="Arial" w:cs="Arial"/>
                <w:b/>
                <w:bCs/>
                <w:sz w:val="22"/>
                <w:szCs w:val="22"/>
              </w:rPr>
              <w:t>vulnerable groups, are likely to be affected?</w:t>
            </w:r>
          </w:p>
          <w:p w14:paraId="1AE0D528" w14:textId="56D1684C" w:rsidR="00E3537A" w:rsidRPr="000E3B9A" w:rsidRDefault="00E3537A" w:rsidP="009A6332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</w:rPr>
            </w:pPr>
            <w:r w:rsidRPr="000E3B9A">
              <w:rPr>
                <w:rFonts w:ascii="Arial" w:hAnsi="Arial" w:cs="Arial"/>
                <w:b/>
                <w:bCs/>
              </w:rPr>
              <w:t>Could this proposal or project have implications for service demand or performance in health and social care services in Gloucestershire?</w:t>
            </w:r>
          </w:p>
          <w:p w14:paraId="2F5D0CB7" w14:textId="77777777" w:rsidR="009A6332" w:rsidRDefault="004B4D42" w:rsidP="009A6332">
            <w:pPr>
              <w:pStyle w:val="NormalWeb"/>
              <w:numPr>
                <w:ilvl w:val="0"/>
                <w:numId w:val="42"/>
              </w:numPr>
              <w:spacing w:line="3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3B9A">
              <w:rPr>
                <w:rFonts w:ascii="Arial" w:hAnsi="Arial" w:cs="Arial"/>
                <w:b/>
                <w:bCs/>
                <w:sz w:val="22"/>
                <w:szCs w:val="22"/>
              </w:rPr>
              <w:t>What is the</w:t>
            </w:r>
            <w:r w:rsidR="00E469E1" w:rsidRPr="000E3B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possible scale of the impacts and </w:t>
            </w:r>
            <w:r w:rsidRPr="000E3B9A">
              <w:rPr>
                <w:rFonts w:ascii="Arial" w:hAnsi="Arial" w:cs="Arial"/>
                <w:b/>
                <w:bCs/>
                <w:sz w:val="22"/>
                <w:szCs w:val="22"/>
              </w:rPr>
              <w:t>are these</w:t>
            </w:r>
            <w:r w:rsidR="00E469E1" w:rsidRPr="000E3B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likely to be positive or negative</w:t>
            </w:r>
            <w:r w:rsidR="009A6332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  <w:p w14:paraId="25CF27C3" w14:textId="2F1D40C8" w:rsidR="009A6332" w:rsidRPr="009A6332" w:rsidRDefault="009A6332" w:rsidP="009A6332">
            <w:pPr>
              <w:pStyle w:val="NormalWeb"/>
              <w:spacing w:line="3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you answered ‘Yes’ to question 1 and/or 3, a HIA is recommended – see step 2. </w:t>
            </w:r>
          </w:p>
        </w:tc>
      </w:tr>
      <w:tr w:rsidR="00E3537A" w:rsidRPr="000E3B9A" w14:paraId="1668B5B2" w14:textId="77777777" w:rsidTr="0029050A">
        <w:tc>
          <w:tcPr>
            <w:tcW w:w="13948" w:type="dxa"/>
          </w:tcPr>
          <w:p w14:paraId="13F35BC2" w14:textId="77777777" w:rsidR="00E3537A" w:rsidRDefault="00AD4491" w:rsidP="001B24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0E3B9A">
              <w:rPr>
                <w:rFonts w:ascii="Arial" w:hAnsi="Arial" w:cs="Arial"/>
                <w:bCs/>
                <w:i/>
                <w:iCs/>
              </w:rPr>
              <w:t>(Use this space to record your considerations)</w:t>
            </w:r>
          </w:p>
          <w:p w14:paraId="33386ADF" w14:textId="5FB0928F" w:rsidR="001B24F5" w:rsidRPr="001B24F5" w:rsidRDefault="001B24F5" w:rsidP="001B24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14:paraId="7AC3875B" w14:textId="2D24D526" w:rsidR="00CD5E68" w:rsidRPr="000E3B9A" w:rsidRDefault="00CD5E68" w:rsidP="00CD5E68">
      <w:pPr>
        <w:pStyle w:val="Heading1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5203B" w:rsidRPr="000E3B9A" w14:paraId="64F8C446" w14:textId="77777777" w:rsidTr="0055203B">
        <w:tc>
          <w:tcPr>
            <w:tcW w:w="13948" w:type="dxa"/>
            <w:shd w:val="clear" w:color="auto" w:fill="B8CCE4" w:themeFill="accent1" w:themeFillTint="66"/>
          </w:tcPr>
          <w:p w14:paraId="6651A376" w14:textId="66629D93" w:rsidR="0055203B" w:rsidRPr="0055203B" w:rsidRDefault="00CB2BC5" w:rsidP="001B24F5">
            <w:pPr>
              <w:pStyle w:val="NormalWeb"/>
              <w:spacing w:line="3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2BC5">
              <w:rPr>
                <w:rFonts w:ascii="Arial" w:hAnsi="Arial" w:cs="Arial"/>
                <w:sz w:val="22"/>
                <w:szCs w:val="22"/>
                <w:u w:val="single"/>
              </w:rPr>
              <w:t>STEP 2</w:t>
            </w:r>
            <w:r w:rsidR="0055203B" w:rsidRPr="00CB2BC5">
              <w:rPr>
                <w:rFonts w:ascii="Arial" w:hAnsi="Arial" w:cs="Arial"/>
                <w:sz w:val="22"/>
                <w:szCs w:val="22"/>
              </w:rPr>
              <w:t>:</w:t>
            </w:r>
            <w:r w:rsidR="0055203B" w:rsidRPr="00552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Scoping</w:t>
            </w:r>
            <w:r w:rsidR="0055203B" w:rsidRPr="0055203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- Determining the focus, methods, and work plan</w:t>
            </w:r>
          </w:p>
        </w:tc>
      </w:tr>
      <w:tr w:rsidR="00E3537A" w:rsidRPr="000E3B9A" w14:paraId="6589E252" w14:textId="77777777" w:rsidTr="0029050A">
        <w:tc>
          <w:tcPr>
            <w:tcW w:w="13948" w:type="dxa"/>
          </w:tcPr>
          <w:p w14:paraId="538CFFC2" w14:textId="1C0D803F" w:rsidR="00926611" w:rsidRPr="000E3B9A" w:rsidRDefault="000250C6" w:rsidP="001B24F5">
            <w:pPr>
              <w:pStyle w:val="NormalWeb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b/>
                <w:bCs/>
                <w:sz w:val="22"/>
                <w:szCs w:val="22"/>
              </w:rPr>
              <w:t>Establish a</w:t>
            </w:r>
            <w:r w:rsidR="001B24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steering</w:t>
            </w:r>
            <w:r w:rsidRPr="000E3B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A6332">
              <w:rPr>
                <w:rFonts w:ascii="Arial" w:hAnsi="Arial" w:cs="Arial"/>
                <w:b/>
                <w:bCs/>
                <w:sz w:val="22"/>
                <w:szCs w:val="22"/>
              </w:rPr>
              <w:t>group to review the</w:t>
            </w:r>
            <w:r w:rsidR="00A2641F" w:rsidRPr="009A63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outcomes</w:t>
            </w:r>
            <w:r w:rsidRPr="009A63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the Screening </w:t>
            </w:r>
            <w:r w:rsidR="00A2641F" w:rsidRPr="009A6332">
              <w:rPr>
                <w:rFonts w:ascii="Arial" w:hAnsi="Arial" w:cs="Arial"/>
                <w:b/>
                <w:bCs/>
                <w:sz w:val="22"/>
                <w:szCs w:val="22"/>
              </w:rPr>
              <w:t>stage (step 1</w:t>
            </w:r>
            <w:r w:rsidRPr="009A63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and agree </w:t>
            </w:r>
            <w:r w:rsidRPr="000E3B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onward action. </w:t>
            </w:r>
          </w:p>
          <w:p w14:paraId="37A1BDAA" w14:textId="725333D6" w:rsidR="009928D4" w:rsidRDefault="001B24F5" w:rsidP="004A7043">
            <w:pPr>
              <w:pStyle w:val="NormalWeb"/>
              <w:numPr>
                <w:ilvl w:val="0"/>
                <w:numId w:val="19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9928D4">
              <w:rPr>
                <w:rFonts w:ascii="Arial" w:hAnsi="Arial" w:cs="Arial"/>
                <w:sz w:val="22"/>
                <w:szCs w:val="22"/>
              </w:rPr>
              <w:t xml:space="preserve">Ensure the steering group takes a proportionate approach and is clear on its role/s, responsibilities, </w:t>
            </w:r>
            <w:r w:rsidR="006C5B99" w:rsidRPr="009928D4">
              <w:rPr>
                <w:rFonts w:ascii="Arial" w:hAnsi="Arial" w:cs="Arial"/>
                <w:sz w:val="22"/>
                <w:szCs w:val="22"/>
              </w:rPr>
              <w:t>timescales,</w:t>
            </w:r>
            <w:r w:rsidRPr="009928D4">
              <w:rPr>
                <w:rFonts w:ascii="Arial" w:hAnsi="Arial" w:cs="Arial"/>
                <w:sz w:val="22"/>
                <w:szCs w:val="22"/>
              </w:rPr>
              <w:t xml:space="preserve"> and scope e.g., who will chair, who will co-ordinate, etc. </w:t>
            </w:r>
          </w:p>
          <w:p w14:paraId="53D5619F" w14:textId="707AF1F8" w:rsidR="009928D4" w:rsidRPr="009928D4" w:rsidRDefault="001B24F5" w:rsidP="004A7043">
            <w:pPr>
              <w:pStyle w:val="NormalWeb"/>
              <w:numPr>
                <w:ilvl w:val="0"/>
                <w:numId w:val="19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9928D4">
              <w:rPr>
                <w:rFonts w:ascii="Arial" w:hAnsi="Arial" w:cs="Arial"/>
                <w:sz w:val="22"/>
                <w:szCs w:val="22"/>
              </w:rPr>
              <w:t xml:space="preserve">Undertake stakeholder analysis to agree who needs to be involved, who could be kept informed, etc. Ensure broad representation and think about ways to gain views from communities. </w:t>
            </w:r>
          </w:p>
          <w:p w14:paraId="26CC98EB" w14:textId="1068B15F" w:rsidR="009928D4" w:rsidRPr="009928D4" w:rsidRDefault="009928D4" w:rsidP="002533F6">
            <w:pPr>
              <w:pStyle w:val="NormalWeb"/>
              <w:numPr>
                <w:ilvl w:val="0"/>
                <w:numId w:val="19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1B24F5" w:rsidRPr="009928D4">
              <w:rPr>
                <w:rFonts w:ascii="Arial" w:hAnsi="Arial" w:cs="Arial"/>
                <w:sz w:val="22"/>
                <w:szCs w:val="22"/>
              </w:rPr>
              <w:t>gree methods of communication and updates.</w:t>
            </w:r>
          </w:p>
          <w:p w14:paraId="42AFD12A" w14:textId="7F276EA4" w:rsidR="009A6332" w:rsidRPr="009928D4" w:rsidRDefault="00926611" w:rsidP="00A26FA2">
            <w:pPr>
              <w:pStyle w:val="NormalWeb"/>
              <w:numPr>
                <w:ilvl w:val="0"/>
                <w:numId w:val="19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9928D4">
              <w:rPr>
                <w:rFonts w:ascii="Arial" w:hAnsi="Arial" w:cs="Arial"/>
                <w:sz w:val="22"/>
                <w:szCs w:val="22"/>
              </w:rPr>
              <w:t>Identify</w:t>
            </w:r>
            <w:r w:rsidR="001B24F5" w:rsidRPr="009928D4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9928D4">
              <w:rPr>
                <w:rFonts w:ascii="Arial" w:hAnsi="Arial" w:cs="Arial"/>
                <w:sz w:val="22"/>
                <w:szCs w:val="22"/>
              </w:rPr>
              <w:t xml:space="preserve"> resources for completing the HIA </w:t>
            </w:r>
            <w:r w:rsidR="009A6332" w:rsidRPr="009928D4">
              <w:rPr>
                <w:rFonts w:ascii="Arial" w:hAnsi="Arial" w:cs="Arial"/>
                <w:sz w:val="22"/>
                <w:szCs w:val="22"/>
              </w:rPr>
              <w:t>e.g.,</w:t>
            </w:r>
            <w:r w:rsidRPr="009928D4">
              <w:rPr>
                <w:rFonts w:ascii="Arial" w:hAnsi="Arial" w:cs="Arial"/>
                <w:sz w:val="22"/>
                <w:szCs w:val="22"/>
              </w:rPr>
              <w:t xml:space="preserve"> is any additional funding needed? How much time commitment is needed?</w:t>
            </w:r>
          </w:p>
          <w:p w14:paraId="4FCCA2D6" w14:textId="3823198A" w:rsidR="00B419E2" w:rsidRPr="001B24F5" w:rsidRDefault="00B775F7" w:rsidP="001B24F5">
            <w:pPr>
              <w:pStyle w:val="NormalWeb"/>
              <w:numPr>
                <w:ilvl w:val="0"/>
                <w:numId w:val="19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1B24F5">
              <w:rPr>
                <w:rFonts w:ascii="Arial" w:hAnsi="Arial" w:cs="Arial"/>
                <w:sz w:val="22"/>
                <w:szCs w:val="22"/>
              </w:rPr>
              <w:lastRenderedPageBreak/>
              <w:t>Agree which methods will be used</w:t>
            </w:r>
            <w:r w:rsidR="001B24F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419E2" w:rsidRPr="001B24F5">
              <w:rPr>
                <w:rFonts w:ascii="Arial" w:hAnsi="Arial" w:cs="Arial"/>
                <w:sz w:val="22"/>
                <w:szCs w:val="22"/>
              </w:rPr>
              <w:t>Potential method options include a literature review, policy analysis, quantitative, qualitative data collection (in the form of focus groups, interviews, or workshops) and/or stakeholder meetings.</w:t>
            </w:r>
          </w:p>
          <w:p w14:paraId="0C623DE5" w14:textId="77777777" w:rsidR="006B10E9" w:rsidRDefault="00B419E2" w:rsidP="001B24F5">
            <w:pPr>
              <w:pStyle w:val="NormalWeb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Tip 1: </w:t>
            </w:r>
            <w:r w:rsidRPr="000E3B9A">
              <w:rPr>
                <w:rFonts w:ascii="Arial" w:hAnsi="Arial" w:cs="Arial"/>
                <w:sz w:val="22"/>
                <w:szCs w:val="22"/>
              </w:rPr>
              <w:t>the method</w:t>
            </w:r>
            <w:r>
              <w:rPr>
                <w:rFonts w:ascii="Arial" w:hAnsi="Arial" w:cs="Arial"/>
                <w:sz w:val="22"/>
                <w:szCs w:val="22"/>
              </w:rPr>
              <w:t xml:space="preserve">(s) chosen </w:t>
            </w:r>
            <w:r w:rsidRPr="000E3B9A">
              <w:rPr>
                <w:rFonts w:ascii="Arial" w:hAnsi="Arial" w:cs="Arial"/>
                <w:sz w:val="22"/>
                <w:szCs w:val="22"/>
              </w:rPr>
              <w:t>will depend on the nature and complexity of the proposal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3B9A">
              <w:rPr>
                <w:rFonts w:ascii="Arial" w:hAnsi="Arial" w:cs="Arial"/>
                <w:sz w:val="22"/>
                <w:szCs w:val="22"/>
              </w:rPr>
              <w:t>and resources and time available.</w:t>
            </w:r>
          </w:p>
          <w:p w14:paraId="64B0967B" w14:textId="6411727E" w:rsidR="00CD5E68" w:rsidRPr="000E3B9A" w:rsidRDefault="00B419E2" w:rsidP="001B24F5">
            <w:pPr>
              <w:pStyle w:val="NormalWeb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Tip 2: </w:t>
            </w:r>
            <w:r w:rsidRPr="000E3B9A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3B9A">
              <w:rPr>
                <w:rFonts w:ascii="Arial" w:hAnsi="Arial" w:cs="Arial"/>
                <w:sz w:val="22"/>
                <w:szCs w:val="22"/>
              </w:rPr>
              <w:t xml:space="preserve">combination of qualitative and quantitative data will provide the most useful and robust evidence base. </w:t>
            </w:r>
          </w:p>
        </w:tc>
      </w:tr>
      <w:tr w:rsidR="00E3537A" w:rsidRPr="000E3B9A" w14:paraId="5297CF85" w14:textId="77777777" w:rsidTr="0029050A">
        <w:tc>
          <w:tcPr>
            <w:tcW w:w="13948" w:type="dxa"/>
          </w:tcPr>
          <w:p w14:paraId="2E4636AD" w14:textId="77777777" w:rsidR="001B24F5" w:rsidRDefault="00AD4491" w:rsidP="001B24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0E3B9A">
              <w:rPr>
                <w:rFonts w:ascii="Arial" w:hAnsi="Arial" w:cs="Arial"/>
                <w:bCs/>
                <w:i/>
                <w:iCs/>
              </w:rPr>
              <w:lastRenderedPageBreak/>
              <w:t>(Use this space to record your considerations)</w:t>
            </w:r>
          </w:p>
          <w:p w14:paraId="75BC445E" w14:textId="46365ACD" w:rsidR="001B24F5" w:rsidRPr="001B24F5" w:rsidRDefault="001B24F5" w:rsidP="001B24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14:paraId="7AB7B2A3" w14:textId="29E3DDD6" w:rsidR="00CD5E68" w:rsidRPr="000E3B9A" w:rsidRDefault="00CD5E68" w:rsidP="00CD5E68">
      <w:pPr>
        <w:pStyle w:val="Heading1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5203B" w:rsidRPr="000E3B9A" w14:paraId="7327C9DC" w14:textId="77777777" w:rsidTr="0055203B">
        <w:tc>
          <w:tcPr>
            <w:tcW w:w="13948" w:type="dxa"/>
            <w:shd w:val="clear" w:color="auto" w:fill="B8CCE4" w:themeFill="accent1" w:themeFillTint="66"/>
          </w:tcPr>
          <w:p w14:paraId="6A9F0FA3" w14:textId="5041CA66" w:rsidR="0055203B" w:rsidRPr="0055203B" w:rsidRDefault="0055203B" w:rsidP="0055203B">
            <w:pPr>
              <w:pStyle w:val="NormalWeb"/>
              <w:spacing w:line="3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2BC5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="00CB2BC5" w:rsidRPr="00CB2BC5">
              <w:rPr>
                <w:rFonts w:ascii="Arial" w:hAnsi="Arial" w:cs="Arial"/>
                <w:sz w:val="22"/>
                <w:szCs w:val="22"/>
                <w:u w:val="single"/>
              </w:rPr>
              <w:t>TEP</w:t>
            </w:r>
            <w:r w:rsidRPr="00CB2BC5">
              <w:rPr>
                <w:rFonts w:ascii="Arial" w:hAnsi="Arial" w:cs="Arial"/>
                <w:sz w:val="22"/>
                <w:szCs w:val="22"/>
                <w:u w:val="single"/>
              </w:rPr>
              <w:t xml:space="preserve"> 3</w:t>
            </w:r>
            <w:r w:rsidRPr="00552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Appraisal of Evidence – </w:t>
            </w:r>
            <w:r w:rsidRPr="0055203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Identifying the Health Impacts</w:t>
            </w:r>
          </w:p>
        </w:tc>
      </w:tr>
      <w:tr w:rsidR="00E3537A" w:rsidRPr="000E3B9A" w14:paraId="2952E1A8" w14:textId="77777777" w:rsidTr="0029050A">
        <w:tc>
          <w:tcPr>
            <w:tcW w:w="13948" w:type="dxa"/>
          </w:tcPr>
          <w:p w14:paraId="6748DA8C" w14:textId="30B56205" w:rsidR="006B10E9" w:rsidRDefault="006B10E9" w:rsidP="006B10E9">
            <w:pPr>
              <w:pStyle w:val="NormalWeb"/>
              <w:numPr>
                <w:ilvl w:val="0"/>
                <w:numId w:val="38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CD5E68" w:rsidRPr="000E3B9A">
              <w:rPr>
                <w:rFonts w:ascii="Arial" w:hAnsi="Arial" w:cs="Arial"/>
                <w:sz w:val="22"/>
                <w:szCs w:val="22"/>
              </w:rPr>
              <w:t xml:space="preserve">ather information about the potential nature, size, </w:t>
            </w:r>
            <w:r w:rsidR="00C059B3" w:rsidRPr="000E3B9A">
              <w:rPr>
                <w:rFonts w:ascii="Arial" w:hAnsi="Arial" w:cs="Arial"/>
                <w:sz w:val="22"/>
                <w:szCs w:val="22"/>
              </w:rPr>
              <w:t>likelihood,</w:t>
            </w:r>
            <w:r w:rsidR="00CD5E68" w:rsidRPr="000E3B9A">
              <w:rPr>
                <w:rFonts w:ascii="Arial" w:hAnsi="Arial" w:cs="Arial"/>
                <w:sz w:val="22"/>
                <w:szCs w:val="22"/>
              </w:rPr>
              <w:t xml:space="preserve"> and distribution of the proposal’s health </w:t>
            </w:r>
            <w:r w:rsidRPr="000E3B9A">
              <w:rPr>
                <w:rFonts w:ascii="Arial" w:hAnsi="Arial" w:cs="Arial"/>
                <w:sz w:val="22"/>
                <w:szCs w:val="22"/>
              </w:rPr>
              <w:t>impacts.</w:t>
            </w:r>
          </w:p>
          <w:p w14:paraId="0453A417" w14:textId="456DD27F" w:rsidR="006B10E9" w:rsidRDefault="006B10E9" w:rsidP="006B10E9">
            <w:pPr>
              <w:pStyle w:val="NormalWeb"/>
              <w:numPr>
                <w:ilvl w:val="0"/>
                <w:numId w:val="38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Explore and suggest </w:t>
            </w:r>
            <w:r w:rsidR="00CD5E68" w:rsidRPr="000E3B9A">
              <w:rPr>
                <w:rFonts w:ascii="Arial" w:hAnsi="Arial" w:cs="Arial"/>
                <w:sz w:val="22"/>
                <w:szCs w:val="22"/>
              </w:rPr>
              <w:t>possible ways of maximising health benefits and minimising</w:t>
            </w:r>
            <w:r w:rsidR="00827F01">
              <w:rPr>
                <w:rFonts w:ascii="Arial" w:hAnsi="Arial" w:cs="Arial"/>
                <w:sz w:val="22"/>
                <w:szCs w:val="22"/>
              </w:rPr>
              <w:t xml:space="preserve"> disbenefits or</w:t>
            </w:r>
            <w:r w:rsidR="00CD5E68" w:rsidRPr="000E3B9A">
              <w:rPr>
                <w:rFonts w:ascii="Arial" w:hAnsi="Arial" w:cs="Arial"/>
                <w:sz w:val="22"/>
                <w:szCs w:val="22"/>
              </w:rPr>
              <w:t xml:space="preserve"> risks, particularly </w:t>
            </w:r>
            <w:r w:rsidR="00827F01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6C5B99">
              <w:rPr>
                <w:rFonts w:ascii="Arial" w:hAnsi="Arial" w:cs="Arial"/>
                <w:sz w:val="22"/>
                <w:szCs w:val="22"/>
              </w:rPr>
              <w:t xml:space="preserve">those from vulnerable and/or disadvantaged groups. </w:t>
            </w:r>
            <w:r w:rsidR="00827F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E68" w:rsidRPr="000E3B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096238" w14:textId="4E17D58C" w:rsidR="00CD5E68" w:rsidRPr="000E3B9A" w:rsidRDefault="006B10E9" w:rsidP="006B10E9">
            <w:pPr>
              <w:pStyle w:val="NormalWeb"/>
              <w:numPr>
                <w:ilvl w:val="0"/>
                <w:numId w:val="38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</w:t>
            </w:r>
            <w:r w:rsidR="00CD5E68" w:rsidRPr="000E3B9A">
              <w:rPr>
                <w:rFonts w:ascii="Arial" w:hAnsi="Arial" w:cs="Arial"/>
                <w:sz w:val="22"/>
                <w:szCs w:val="22"/>
              </w:rPr>
              <w:t xml:space="preserve"> and suggest actions that might address ‘gaps’ in the proposal or plan. </w:t>
            </w:r>
          </w:p>
          <w:p w14:paraId="385733CD" w14:textId="129A8263" w:rsidR="006B10E9" w:rsidRDefault="00B419E2" w:rsidP="00A05926">
            <w:pPr>
              <w:pStyle w:val="NormalWeb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Tip 1: </w:t>
            </w:r>
            <w:r w:rsidR="00B775F7" w:rsidRPr="000E3B9A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CD5E68" w:rsidRPr="000E3B9A">
              <w:rPr>
                <w:rFonts w:ascii="Arial" w:hAnsi="Arial" w:cs="Arial"/>
                <w:sz w:val="22"/>
                <w:szCs w:val="22"/>
              </w:rPr>
              <w:t xml:space="preserve">combination of qualitative and quantitative methods and data sources will provide the most holistic </w:t>
            </w:r>
            <w:r w:rsidR="006C5B99">
              <w:rPr>
                <w:rFonts w:ascii="Arial" w:hAnsi="Arial" w:cs="Arial"/>
                <w:sz w:val="22"/>
                <w:szCs w:val="22"/>
              </w:rPr>
              <w:t xml:space="preserve">picture </w:t>
            </w:r>
            <w:r w:rsidR="00CD5E68" w:rsidRPr="000E3B9A">
              <w:rPr>
                <w:rFonts w:ascii="Arial" w:hAnsi="Arial" w:cs="Arial"/>
                <w:sz w:val="22"/>
                <w:szCs w:val="22"/>
              </w:rPr>
              <w:t>of impacts.</w:t>
            </w:r>
            <w:r w:rsidR="00A05926" w:rsidRPr="000E3B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DD298B" w14:textId="00996D3E" w:rsidR="00A05926" w:rsidRPr="000E3B9A" w:rsidRDefault="006B10E9" w:rsidP="00A05926">
            <w:pPr>
              <w:pStyle w:val="NormalWeb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Tip 2: </w:t>
            </w:r>
            <w:r w:rsidR="00A05926" w:rsidRPr="000E3B9A">
              <w:rPr>
                <w:rFonts w:ascii="Arial" w:hAnsi="Arial" w:cs="Arial"/>
                <w:sz w:val="22"/>
                <w:szCs w:val="22"/>
              </w:rPr>
              <w:t xml:space="preserve">Try to include community </w:t>
            </w:r>
            <w:r w:rsidR="009A6332" w:rsidRPr="000E3B9A">
              <w:rPr>
                <w:rFonts w:ascii="Arial" w:hAnsi="Arial" w:cs="Arial"/>
                <w:sz w:val="22"/>
                <w:szCs w:val="22"/>
              </w:rPr>
              <w:t>representatives’</w:t>
            </w:r>
            <w:r w:rsidR="00A05926">
              <w:rPr>
                <w:rFonts w:ascii="Arial" w:hAnsi="Arial" w:cs="Arial"/>
                <w:sz w:val="22"/>
                <w:szCs w:val="22"/>
              </w:rPr>
              <w:t xml:space="preserve"> views</w:t>
            </w:r>
            <w:r w:rsidR="00A05926" w:rsidRPr="000E3B9A">
              <w:rPr>
                <w:rFonts w:ascii="Arial" w:hAnsi="Arial" w:cs="Arial"/>
                <w:sz w:val="22"/>
                <w:szCs w:val="22"/>
              </w:rPr>
              <w:t>; lay knowledge can provide a richer understanding of community and the issues that more ‘traditionally robust evidence’ cannot give (Elliott and Williams, 2008</w:t>
            </w:r>
            <w:r w:rsidR="006C5B99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A05926">
              <w:rPr>
                <w:rFonts w:ascii="Arial" w:hAnsi="Arial" w:cs="Arial"/>
                <w:sz w:val="22"/>
                <w:szCs w:val="22"/>
              </w:rPr>
              <w:t>see (ii) expert opinion below)</w:t>
            </w:r>
            <w:r w:rsidR="00A05926" w:rsidRPr="000E3B9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9D1AC9" w14:textId="7B81DFB3" w:rsidR="00CD5E68" w:rsidRPr="000E3B9A" w:rsidRDefault="00CD5E68" w:rsidP="00CD5E68">
            <w:pPr>
              <w:pStyle w:val="NormalWeb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 xml:space="preserve">Below is a list of possible sources of evidence (the list is a guide and not meant to be exhaustive). </w:t>
            </w:r>
          </w:p>
          <w:p w14:paraId="72275B26" w14:textId="78DA19B7" w:rsidR="002228C1" w:rsidRPr="000E3B9A" w:rsidRDefault="00CD5E68" w:rsidP="009A6332">
            <w:pPr>
              <w:pStyle w:val="NormalWeb"/>
              <w:numPr>
                <w:ilvl w:val="0"/>
                <w:numId w:val="41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>Information on existing population</w:t>
            </w:r>
            <w:r w:rsidR="004B4D42" w:rsidRPr="000E3B9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9D504AC" w14:textId="765A3DE5" w:rsidR="00E37DEE" w:rsidRPr="000E3B9A" w:rsidRDefault="00CD5E68" w:rsidP="00E37DEE">
            <w:pPr>
              <w:pStyle w:val="NormalWeb"/>
              <w:numPr>
                <w:ilvl w:val="0"/>
                <w:numId w:val="20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>Routinely collected local statistics (</w:t>
            </w:r>
            <w:r w:rsidR="004B4D42" w:rsidRPr="000E3B9A">
              <w:rPr>
                <w:rFonts w:ascii="Arial" w:hAnsi="Arial" w:cs="Arial"/>
                <w:sz w:val="22"/>
                <w:szCs w:val="22"/>
              </w:rPr>
              <w:t>e.g.,</w:t>
            </w:r>
            <w:r w:rsidRPr="000E3B9A">
              <w:rPr>
                <w:rFonts w:ascii="Arial" w:hAnsi="Arial" w:cs="Arial"/>
                <w:sz w:val="22"/>
                <w:szCs w:val="22"/>
              </w:rPr>
              <w:t xml:space="preserve"> on health, unemployment, </w:t>
            </w:r>
            <w:r w:rsidR="00A2641F" w:rsidRPr="000E3B9A">
              <w:rPr>
                <w:rFonts w:ascii="Arial" w:hAnsi="Arial" w:cs="Arial"/>
                <w:sz w:val="22"/>
                <w:szCs w:val="22"/>
              </w:rPr>
              <w:t>crime,</w:t>
            </w:r>
            <w:r w:rsidRPr="000E3B9A">
              <w:rPr>
                <w:rFonts w:ascii="Arial" w:hAnsi="Arial" w:cs="Arial"/>
                <w:sz w:val="22"/>
                <w:szCs w:val="22"/>
              </w:rPr>
              <w:t xml:space="preserve"> and air quality) </w:t>
            </w:r>
          </w:p>
          <w:p w14:paraId="66C07B31" w14:textId="7F0580C2" w:rsidR="002228C1" w:rsidRPr="000E3B9A" w:rsidRDefault="00CD5E68" w:rsidP="00E37DEE">
            <w:pPr>
              <w:pStyle w:val="NormalWeb"/>
              <w:numPr>
                <w:ilvl w:val="0"/>
                <w:numId w:val="20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lastRenderedPageBreak/>
              <w:t xml:space="preserve">Community profiles </w:t>
            </w:r>
          </w:p>
          <w:p w14:paraId="7F5FF1D9" w14:textId="4240AE23" w:rsidR="002228C1" w:rsidRPr="000E3B9A" w:rsidRDefault="00CD5E68" w:rsidP="00E37DEE">
            <w:pPr>
              <w:pStyle w:val="NormalWeb"/>
              <w:numPr>
                <w:ilvl w:val="0"/>
                <w:numId w:val="20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 xml:space="preserve">Local concerns and anxieties (where documented) </w:t>
            </w:r>
          </w:p>
          <w:p w14:paraId="61DEC8D5" w14:textId="36052076" w:rsidR="002228C1" w:rsidRPr="000E3B9A" w:rsidRDefault="00CD5E68" w:rsidP="00E37DEE">
            <w:pPr>
              <w:pStyle w:val="NormalWeb"/>
              <w:numPr>
                <w:ilvl w:val="0"/>
                <w:numId w:val="20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 xml:space="preserve">Secondary analysis of existing local data </w:t>
            </w:r>
          </w:p>
          <w:p w14:paraId="23322162" w14:textId="77777777" w:rsidR="00AD4491" w:rsidRPr="000E3B9A" w:rsidRDefault="00CD5E68" w:rsidP="00E37DEE">
            <w:pPr>
              <w:pStyle w:val="NormalWeb"/>
              <w:numPr>
                <w:ilvl w:val="0"/>
                <w:numId w:val="20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E3B9A">
              <w:rPr>
                <w:rFonts w:ascii="Arial" w:hAnsi="Arial" w:cs="Arial"/>
                <w:sz w:val="22"/>
                <w:szCs w:val="22"/>
              </w:rPr>
              <w:t>Other</w:t>
            </w:r>
            <w:proofErr w:type="gramEnd"/>
            <w:r w:rsidRPr="000E3B9A">
              <w:rPr>
                <w:rFonts w:ascii="Arial" w:hAnsi="Arial" w:cs="Arial"/>
                <w:sz w:val="22"/>
                <w:szCs w:val="22"/>
              </w:rPr>
              <w:t xml:space="preserve"> local surveys/research </w:t>
            </w:r>
          </w:p>
          <w:p w14:paraId="2C50EF85" w14:textId="4B915C8C" w:rsidR="002228C1" w:rsidRPr="000E3B9A" w:rsidRDefault="00CD5E68" w:rsidP="009A6332">
            <w:pPr>
              <w:pStyle w:val="NormalWeb"/>
              <w:numPr>
                <w:ilvl w:val="0"/>
                <w:numId w:val="41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>Expert opinion</w:t>
            </w:r>
            <w:r w:rsidR="00C059B3" w:rsidRPr="000E3B9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F8D8C02" w14:textId="6CA4EA7B" w:rsidR="002228C1" w:rsidRPr="000E3B9A" w:rsidRDefault="00CD5E68" w:rsidP="00E37DEE">
            <w:pPr>
              <w:pStyle w:val="NormalWeb"/>
              <w:numPr>
                <w:ilvl w:val="0"/>
                <w:numId w:val="20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 xml:space="preserve">Views of residents and professionals with local knowledge and insight </w:t>
            </w:r>
          </w:p>
          <w:p w14:paraId="2AE17F4F" w14:textId="440907C3" w:rsidR="002228C1" w:rsidRPr="000E3B9A" w:rsidRDefault="00CD5E68" w:rsidP="00E37DEE">
            <w:pPr>
              <w:pStyle w:val="NormalWeb"/>
              <w:numPr>
                <w:ilvl w:val="0"/>
                <w:numId w:val="20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 xml:space="preserve">Views of individual academics or professionals with knowledge in a specialist area </w:t>
            </w:r>
          </w:p>
          <w:p w14:paraId="5EF25199" w14:textId="09006F7F" w:rsidR="002228C1" w:rsidRPr="000E3B9A" w:rsidRDefault="00CD5E68" w:rsidP="00E37DEE">
            <w:pPr>
              <w:pStyle w:val="NormalWeb"/>
              <w:numPr>
                <w:ilvl w:val="0"/>
                <w:numId w:val="20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 xml:space="preserve">Organisations which provide advice on </w:t>
            </w:r>
            <w:proofErr w:type="gramStart"/>
            <w:r w:rsidRPr="000E3B9A">
              <w:rPr>
                <w:rFonts w:ascii="Arial" w:hAnsi="Arial" w:cs="Arial"/>
                <w:sz w:val="22"/>
                <w:szCs w:val="22"/>
              </w:rPr>
              <w:t>particular subjects</w:t>
            </w:r>
            <w:proofErr w:type="gramEnd"/>
            <w:r w:rsidRPr="000E3B9A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2228C1" w:rsidRPr="000E3B9A">
              <w:rPr>
                <w:rFonts w:ascii="Arial" w:hAnsi="Arial" w:cs="Arial"/>
                <w:sz w:val="22"/>
                <w:szCs w:val="22"/>
              </w:rPr>
              <w:t>e.g.,</w:t>
            </w:r>
            <w:r w:rsidRPr="000E3B9A">
              <w:rPr>
                <w:rFonts w:ascii="Arial" w:hAnsi="Arial" w:cs="Arial"/>
                <w:sz w:val="22"/>
                <w:szCs w:val="22"/>
              </w:rPr>
              <w:t xml:space="preserve"> on transport research) </w:t>
            </w:r>
          </w:p>
          <w:p w14:paraId="28E87712" w14:textId="156D5BC3" w:rsidR="002228C1" w:rsidRPr="000E3B9A" w:rsidRDefault="00CD5E68" w:rsidP="009A6332">
            <w:pPr>
              <w:pStyle w:val="NormalWeb"/>
              <w:numPr>
                <w:ilvl w:val="0"/>
                <w:numId w:val="41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>Wider evidence</w:t>
            </w:r>
            <w:r w:rsidR="004B4D42" w:rsidRPr="000E3B9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3012768" w14:textId="55EAC0AE" w:rsidR="002228C1" w:rsidRPr="000E3B9A" w:rsidRDefault="00CD5E68" w:rsidP="00E37DEE">
            <w:pPr>
              <w:pStyle w:val="NormalWeb"/>
              <w:numPr>
                <w:ilvl w:val="0"/>
                <w:numId w:val="22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 xml:space="preserve">Research published in academic journals accessed through special literature searches in libraries or on the </w:t>
            </w:r>
            <w:proofErr w:type="gramStart"/>
            <w:r w:rsidRPr="000E3B9A">
              <w:rPr>
                <w:rFonts w:ascii="Arial" w:hAnsi="Arial" w:cs="Arial"/>
                <w:sz w:val="22"/>
                <w:szCs w:val="22"/>
              </w:rPr>
              <w:t>Internet</w:t>
            </w:r>
            <w:proofErr w:type="gramEnd"/>
            <w:r w:rsidRPr="000E3B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91A3D9" w14:textId="4E8008AE" w:rsidR="002228C1" w:rsidRPr="000E3B9A" w:rsidRDefault="00CD5E68" w:rsidP="00E37DEE">
            <w:pPr>
              <w:pStyle w:val="NormalWeb"/>
              <w:numPr>
                <w:ilvl w:val="0"/>
                <w:numId w:val="22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 xml:space="preserve">Research conducted or commissioned by statutory, </w:t>
            </w:r>
            <w:r w:rsidR="00A2641F" w:rsidRPr="000E3B9A">
              <w:rPr>
                <w:rFonts w:ascii="Arial" w:hAnsi="Arial" w:cs="Arial"/>
                <w:sz w:val="22"/>
                <w:szCs w:val="22"/>
              </w:rPr>
              <w:t>voluntary,</w:t>
            </w:r>
            <w:r w:rsidRPr="000E3B9A">
              <w:rPr>
                <w:rFonts w:ascii="Arial" w:hAnsi="Arial" w:cs="Arial"/>
                <w:sz w:val="22"/>
                <w:szCs w:val="22"/>
              </w:rPr>
              <w:t xml:space="preserve"> or private </w:t>
            </w:r>
            <w:proofErr w:type="gramStart"/>
            <w:r w:rsidRPr="000E3B9A"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gramEnd"/>
            <w:r w:rsidRPr="000E3B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00653D" w14:textId="0355F445" w:rsidR="002228C1" w:rsidRPr="000E3B9A" w:rsidRDefault="00CD5E68" w:rsidP="00E37DEE">
            <w:pPr>
              <w:pStyle w:val="NormalWeb"/>
              <w:numPr>
                <w:ilvl w:val="0"/>
                <w:numId w:val="22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 xml:space="preserve">Predictions from models </w:t>
            </w:r>
          </w:p>
          <w:p w14:paraId="44195461" w14:textId="1388B045" w:rsidR="00CD5E68" w:rsidRPr="000E3B9A" w:rsidRDefault="00CD5E68" w:rsidP="00E37DEE">
            <w:pPr>
              <w:pStyle w:val="NormalWeb"/>
              <w:numPr>
                <w:ilvl w:val="0"/>
                <w:numId w:val="22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>Information about similar proposals implemented elsewhere (case studies)</w:t>
            </w:r>
          </w:p>
          <w:p w14:paraId="5BDF8E47" w14:textId="7DEFE12A" w:rsidR="000A2DB6" w:rsidRPr="000E3B9A" w:rsidRDefault="00CD5E68" w:rsidP="000A2DB6">
            <w:pPr>
              <w:pStyle w:val="NormalWeb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 xml:space="preserve">There are </w:t>
            </w:r>
            <w:r w:rsidR="004B4D42" w:rsidRPr="000E3B9A">
              <w:rPr>
                <w:rFonts w:ascii="Arial" w:hAnsi="Arial" w:cs="Arial"/>
                <w:sz w:val="22"/>
                <w:szCs w:val="22"/>
              </w:rPr>
              <w:t>several</w:t>
            </w:r>
            <w:r w:rsidRPr="000E3B9A">
              <w:rPr>
                <w:rFonts w:ascii="Arial" w:hAnsi="Arial" w:cs="Arial"/>
                <w:sz w:val="22"/>
                <w:szCs w:val="22"/>
              </w:rPr>
              <w:t xml:space="preserve"> ways in which the potential impacts may be described</w:t>
            </w:r>
            <w:r w:rsidR="000E3B9A" w:rsidRPr="000E3B9A">
              <w:rPr>
                <w:rFonts w:ascii="Arial" w:hAnsi="Arial" w:cs="Arial"/>
                <w:sz w:val="22"/>
                <w:szCs w:val="22"/>
              </w:rPr>
              <w:t>. W</w:t>
            </w:r>
            <w:r w:rsidR="008D3C6E" w:rsidRPr="000E3B9A">
              <w:rPr>
                <w:rFonts w:ascii="Arial" w:hAnsi="Arial" w:cs="Arial"/>
                <w:sz w:val="22"/>
                <w:szCs w:val="22"/>
              </w:rPr>
              <w:t xml:space="preserve">ith your </w:t>
            </w:r>
            <w:r w:rsidR="006C5B99">
              <w:rPr>
                <w:rFonts w:ascii="Arial" w:hAnsi="Arial" w:cs="Arial"/>
                <w:sz w:val="22"/>
                <w:szCs w:val="22"/>
              </w:rPr>
              <w:t>steering group,</w:t>
            </w:r>
            <w:r w:rsidR="008D3C6E" w:rsidRPr="000E3B9A">
              <w:rPr>
                <w:rFonts w:ascii="Arial" w:hAnsi="Arial" w:cs="Arial"/>
                <w:sz w:val="22"/>
                <w:szCs w:val="22"/>
              </w:rPr>
              <w:t xml:space="preserve"> describe the following:</w:t>
            </w:r>
          </w:p>
          <w:p w14:paraId="6598D4DE" w14:textId="01517C7E" w:rsidR="000A2DB6" w:rsidRPr="000E3B9A" w:rsidRDefault="00CD5E68" w:rsidP="00435429">
            <w:pPr>
              <w:pStyle w:val="NormalWeb"/>
              <w:numPr>
                <w:ilvl w:val="0"/>
                <w:numId w:val="36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 xml:space="preserve">The nature of the impact – how will the proposal affect </w:t>
            </w:r>
            <w:r w:rsidR="000A2DB6" w:rsidRPr="000E3B9A">
              <w:rPr>
                <w:rFonts w:ascii="Arial" w:hAnsi="Arial" w:cs="Arial"/>
                <w:sz w:val="22"/>
                <w:szCs w:val="22"/>
              </w:rPr>
              <w:t>health,</w:t>
            </w:r>
            <w:r w:rsidRPr="000E3B9A">
              <w:rPr>
                <w:rFonts w:ascii="Arial" w:hAnsi="Arial" w:cs="Arial"/>
                <w:sz w:val="22"/>
                <w:szCs w:val="22"/>
              </w:rPr>
              <w:t xml:space="preserve"> and will the impact be positive or negative?</w:t>
            </w:r>
          </w:p>
          <w:p w14:paraId="4EAA8647" w14:textId="0304AE21" w:rsidR="00AA2FAA" w:rsidRPr="000E3B9A" w:rsidRDefault="00CD5E68" w:rsidP="00435429">
            <w:pPr>
              <w:pStyle w:val="NormalWeb"/>
              <w:numPr>
                <w:ilvl w:val="0"/>
                <w:numId w:val="36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 xml:space="preserve">The likelihood of the impact - is the likelihood of the impact of the proposal definite, probable or speculative? </w:t>
            </w:r>
          </w:p>
          <w:p w14:paraId="49E2A312" w14:textId="1E6CB34F" w:rsidR="00AA2FAA" w:rsidRPr="000E3B9A" w:rsidRDefault="00CD5E68" w:rsidP="00435429">
            <w:pPr>
              <w:pStyle w:val="NormalWeb"/>
              <w:numPr>
                <w:ilvl w:val="0"/>
                <w:numId w:val="36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 xml:space="preserve">The scale and significance of the impact - what proportion of the population is likely to be affected? How severe or beneficial will the impact be? </w:t>
            </w:r>
          </w:p>
          <w:p w14:paraId="11EA3914" w14:textId="55486E28" w:rsidR="00AA2FAA" w:rsidRPr="000E3B9A" w:rsidRDefault="00CD5E68" w:rsidP="00435429">
            <w:pPr>
              <w:pStyle w:val="NormalWeb"/>
              <w:numPr>
                <w:ilvl w:val="0"/>
                <w:numId w:val="36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lastRenderedPageBreak/>
              <w:t xml:space="preserve">The timing of the impact - will the impact be in weeks, months, years? In some </w:t>
            </w:r>
            <w:r w:rsidR="009A6332" w:rsidRPr="000E3B9A">
              <w:rPr>
                <w:rFonts w:ascii="Arial" w:hAnsi="Arial" w:cs="Arial"/>
                <w:sz w:val="22"/>
                <w:szCs w:val="22"/>
              </w:rPr>
              <w:t>instances,</w:t>
            </w:r>
            <w:r w:rsidRPr="000E3B9A">
              <w:rPr>
                <w:rFonts w:ascii="Arial" w:hAnsi="Arial" w:cs="Arial"/>
                <w:sz w:val="22"/>
                <w:szCs w:val="22"/>
              </w:rPr>
              <w:t xml:space="preserve"> the short-term risks to health may be worth the long-term benefits.</w:t>
            </w:r>
          </w:p>
          <w:p w14:paraId="12A043BA" w14:textId="4452F006" w:rsidR="00CD5E68" w:rsidRPr="009A6332" w:rsidRDefault="00CD5E68" w:rsidP="00CD5E68">
            <w:pPr>
              <w:pStyle w:val="NormalWeb"/>
              <w:numPr>
                <w:ilvl w:val="0"/>
                <w:numId w:val="36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 xml:space="preserve">The distribution of the effects - will the proposal affect different groups of people in different ways? A proposal that is likely to benefit one section of the population may not benefit others. </w:t>
            </w:r>
            <w:r w:rsidR="009B4404">
              <w:rPr>
                <w:rFonts w:ascii="Arial" w:hAnsi="Arial" w:cs="Arial"/>
                <w:sz w:val="22"/>
                <w:szCs w:val="22"/>
              </w:rPr>
              <w:t>Are there ways in</w:t>
            </w:r>
            <w:r w:rsidRPr="000E3B9A">
              <w:rPr>
                <w:rFonts w:ascii="Arial" w:hAnsi="Arial" w:cs="Arial"/>
                <w:sz w:val="22"/>
                <w:szCs w:val="22"/>
              </w:rPr>
              <w:t xml:space="preserve"> which members of the least healthy or most disadvantaged populations could be helped</w:t>
            </w:r>
            <w:r w:rsidR="009B4404">
              <w:rPr>
                <w:rFonts w:ascii="Arial" w:hAnsi="Arial" w:cs="Arial"/>
                <w:sz w:val="22"/>
                <w:szCs w:val="22"/>
              </w:rPr>
              <w:t>?</w:t>
            </w:r>
            <w:r w:rsidRPr="000E3B9A">
              <w:rPr>
                <w:rFonts w:ascii="Arial" w:hAnsi="Arial" w:cs="Arial"/>
                <w:sz w:val="22"/>
                <w:szCs w:val="22"/>
              </w:rPr>
              <w:t xml:space="preserve"> This can be an important contribution to reducing the health inequalities that exist between some communities.</w:t>
            </w:r>
            <w:r w:rsidRPr="009A63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3537A" w:rsidRPr="000E3B9A" w14:paraId="1ADED88B" w14:textId="77777777" w:rsidTr="0029050A">
        <w:tc>
          <w:tcPr>
            <w:tcW w:w="13948" w:type="dxa"/>
          </w:tcPr>
          <w:p w14:paraId="510AEE4D" w14:textId="77777777" w:rsidR="00E3537A" w:rsidRDefault="00AD4491" w:rsidP="009B44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0E3B9A">
              <w:rPr>
                <w:rFonts w:ascii="Arial" w:hAnsi="Arial" w:cs="Arial"/>
                <w:bCs/>
                <w:i/>
                <w:iCs/>
              </w:rPr>
              <w:lastRenderedPageBreak/>
              <w:t>(Use this space to record your considerations)</w:t>
            </w:r>
          </w:p>
          <w:p w14:paraId="6BA7AE83" w14:textId="6A36BD59" w:rsidR="009B4404" w:rsidRPr="009B4404" w:rsidRDefault="009B4404" w:rsidP="009B44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14:paraId="1D3035CF" w14:textId="7808FA17" w:rsidR="00D156F7" w:rsidRPr="000E3B9A" w:rsidRDefault="00D156F7" w:rsidP="00CD5E68">
      <w:pPr>
        <w:pStyle w:val="Heading1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5203B" w:rsidRPr="000E3B9A" w14:paraId="4B529E4A" w14:textId="77777777" w:rsidTr="0055203B">
        <w:tc>
          <w:tcPr>
            <w:tcW w:w="13948" w:type="dxa"/>
            <w:shd w:val="clear" w:color="auto" w:fill="B8CCE4" w:themeFill="accent1" w:themeFillTint="66"/>
          </w:tcPr>
          <w:p w14:paraId="109BFD57" w14:textId="1BB494C7" w:rsidR="0055203B" w:rsidRPr="0055203B" w:rsidRDefault="0055203B" w:rsidP="0055203B">
            <w:pPr>
              <w:pStyle w:val="NormalWeb"/>
              <w:spacing w:line="3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2BC5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="00CB2BC5" w:rsidRPr="00CB2BC5">
              <w:rPr>
                <w:rFonts w:ascii="Arial" w:hAnsi="Arial" w:cs="Arial"/>
                <w:sz w:val="22"/>
                <w:szCs w:val="22"/>
                <w:u w:val="single"/>
              </w:rPr>
              <w:t>TEP</w:t>
            </w:r>
            <w:r w:rsidRPr="00CB2BC5">
              <w:rPr>
                <w:rFonts w:ascii="Arial" w:hAnsi="Arial" w:cs="Arial"/>
                <w:sz w:val="22"/>
                <w:szCs w:val="22"/>
                <w:u w:val="single"/>
              </w:rPr>
              <w:t xml:space="preserve"> 4</w:t>
            </w:r>
            <w:r w:rsidRPr="00CB2BC5">
              <w:rPr>
                <w:rFonts w:ascii="Arial" w:hAnsi="Arial" w:cs="Arial"/>
                <w:sz w:val="22"/>
                <w:szCs w:val="22"/>
              </w:rPr>
              <w:t>:</w:t>
            </w:r>
            <w:r w:rsidRPr="00552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Reporting and Recommendations</w:t>
            </w:r>
          </w:p>
        </w:tc>
      </w:tr>
      <w:tr w:rsidR="00E3537A" w:rsidRPr="000E3B9A" w14:paraId="25E1836E" w14:textId="77777777" w:rsidTr="00D156F7">
        <w:tc>
          <w:tcPr>
            <w:tcW w:w="13948" w:type="dxa"/>
          </w:tcPr>
          <w:p w14:paraId="51797BA7" w14:textId="544BA2C3" w:rsidR="00BF6F90" w:rsidRDefault="00D957C0" w:rsidP="00BF6F90">
            <w:pPr>
              <w:pStyle w:val="NormalWeb"/>
              <w:numPr>
                <w:ilvl w:val="0"/>
                <w:numId w:val="39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BF6F90">
              <w:rPr>
                <w:rFonts w:ascii="Arial" w:hAnsi="Arial" w:cs="Arial"/>
                <w:sz w:val="22"/>
                <w:szCs w:val="22"/>
              </w:rPr>
              <w:t xml:space="preserve">rite a Recommendations Report </w:t>
            </w:r>
          </w:p>
          <w:p w14:paraId="1DE0A1E9" w14:textId="40D22541" w:rsidR="00D957C0" w:rsidRDefault="00D957C0" w:rsidP="00BF6F90">
            <w:pPr>
              <w:pStyle w:val="NormalWeb"/>
              <w:numPr>
                <w:ilvl w:val="1"/>
                <w:numId w:val="39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is an opportunity to </w:t>
            </w:r>
            <w:r w:rsidR="006B10E9">
              <w:rPr>
                <w:rFonts w:ascii="Arial" w:hAnsi="Arial" w:cs="Arial"/>
                <w:sz w:val="22"/>
                <w:szCs w:val="22"/>
              </w:rPr>
              <w:t>outline the</w:t>
            </w:r>
            <w:r>
              <w:rPr>
                <w:rFonts w:ascii="Arial" w:hAnsi="Arial" w:cs="Arial"/>
                <w:sz w:val="22"/>
                <w:szCs w:val="22"/>
              </w:rPr>
              <w:t xml:space="preserve"> important health impacts and the </w:t>
            </w:r>
            <w:r w:rsidR="006B10E9">
              <w:rPr>
                <w:rFonts w:ascii="Arial" w:hAnsi="Arial" w:cs="Arial"/>
                <w:sz w:val="22"/>
                <w:szCs w:val="22"/>
              </w:rPr>
              <w:t>recommendations.</w:t>
            </w:r>
          </w:p>
          <w:p w14:paraId="28D6E15D" w14:textId="1EB8429F" w:rsidR="00BF6F90" w:rsidRDefault="00BF6F90" w:rsidP="00BF6F90">
            <w:pPr>
              <w:pStyle w:val="NormalWeb"/>
              <w:numPr>
                <w:ilvl w:val="1"/>
                <w:numId w:val="39"/>
              </w:numPr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CD5E68" w:rsidRPr="000E3B9A">
              <w:rPr>
                <w:rFonts w:ascii="Arial" w:hAnsi="Arial" w:cs="Arial"/>
                <w:sz w:val="22"/>
                <w:szCs w:val="22"/>
              </w:rPr>
              <w:t>ecommendations should aim to maximize any potential health and well-being benefits and mitigate potential negative impacts. They can ‘fill in’ any identified gaps and readdress any health (or other) inequalities that may be caused.</w:t>
            </w:r>
          </w:p>
          <w:p w14:paraId="075AA5B8" w14:textId="77777777" w:rsidR="0055203B" w:rsidRPr="00CB2BC5" w:rsidRDefault="00BF6F90" w:rsidP="00D957C0">
            <w:pPr>
              <w:pStyle w:val="NormalWeb"/>
              <w:spacing w:line="360" w:lineRule="atLeast"/>
              <w:rPr>
                <w:rFonts w:ascii="Arial" w:hAnsi="Arial" w:cs="Arial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B2BC5">
              <w:rPr>
                <w:rFonts w:ascii="Arial" w:hAnsi="Arial" w:cs="Arial"/>
                <w:b/>
                <w:bCs/>
                <w:color w:val="4F6228" w:themeColor="accent3" w:themeShade="80"/>
                <w:sz w:val="22"/>
                <w:szCs w:val="22"/>
              </w:rPr>
              <w:t>Tip</w:t>
            </w:r>
            <w:r w:rsidR="0055203B" w:rsidRPr="00CB2BC5">
              <w:rPr>
                <w:rFonts w:ascii="Arial" w:hAnsi="Arial" w:cs="Arial"/>
                <w:b/>
                <w:bCs/>
                <w:color w:val="4F6228" w:themeColor="accent3" w:themeShade="80"/>
                <w:sz w:val="22"/>
                <w:szCs w:val="22"/>
              </w:rPr>
              <w:t>s</w:t>
            </w:r>
            <w:r w:rsidRPr="00CB2BC5">
              <w:rPr>
                <w:rFonts w:ascii="Arial" w:hAnsi="Arial" w:cs="Arial"/>
                <w:b/>
                <w:bCs/>
                <w:color w:val="4F6228" w:themeColor="accent3" w:themeShade="80"/>
                <w:sz w:val="22"/>
                <w:szCs w:val="22"/>
              </w:rPr>
              <w:t xml:space="preserve">: </w:t>
            </w:r>
          </w:p>
          <w:p w14:paraId="6F216CDE" w14:textId="6A58A35C" w:rsidR="000A2DB6" w:rsidRPr="00CB2BC5" w:rsidRDefault="0055203B" w:rsidP="0055203B">
            <w:pPr>
              <w:pStyle w:val="NormalWeb"/>
              <w:numPr>
                <w:ilvl w:val="0"/>
                <w:numId w:val="45"/>
              </w:numPr>
              <w:spacing w:line="360" w:lineRule="atLeast"/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</w:pPr>
            <w:r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M</w:t>
            </w:r>
            <w:r w:rsidR="00BF6F90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ake sure r</w:t>
            </w:r>
            <w:r w:rsidR="00CD5E68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 xml:space="preserve">ecommendations </w:t>
            </w:r>
            <w:r w:rsidR="00BF6F90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are</w:t>
            </w:r>
            <w:r w:rsidR="00CD5E68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 xml:space="preserve"> </w:t>
            </w:r>
            <w:r w:rsidR="009A6332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clear, concise</w:t>
            </w:r>
            <w:r w:rsidR="000A2DB6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, r</w:t>
            </w:r>
            <w:r w:rsidR="00CD5E68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ealistic</w:t>
            </w:r>
            <w:r w:rsidR="000A2DB6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, a</w:t>
            </w:r>
            <w:r w:rsidR="00CD5E68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chievable</w:t>
            </w:r>
            <w:r w:rsidR="000A2DB6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, m</w:t>
            </w:r>
            <w:r w:rsidR="00CD5E68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anageable in number</w:t>
            </w:r>
            <w:r w:rsidR="000A2DB6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, i</w:t>
            </w:r>
            <w:r w:rsidR="00CD5E68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mpartial</w:t>
            </w:r>
            <w:r w:rsidR="000A2DB6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, r</w:t>
            </w:r>
            <w:r w:rsidR="00CD5E68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 xml:space="preserve">eflective of all evidence and representatives’ views </w:t>
            </w:r>
            <w:r w:rsidR="000A2DB6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and a</w:t>
            </w:r>
            <w:r w:rsidR="00CD5E68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greed by consensus</w:t>
            </w:r>
            <w:r w:rsidR="000A2DB6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.</w:t>
            </w:r>
          </w:p>
          <w:p w14:paraId="19FD4F8D" w14:textId="32793A2E" w:rsidR="00D156F7" w:rsidRPr="000E3B9A" w:rsidRDefault="0055203B" w:rsidP="0055203B">
            <w:pPr>
              <w:pStyle w:val="NormalWeb"/>
              <w:numPr>
                <w:ilvl w:val="0"/>
                <w:numId w:val="45"/>
              </w:numPr>
              <w:spacing w:line="360" w:lineRule="atLeas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M</w:t>
            </w:r>
            <w:r w:rsidR="00BF6F90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 xml:space="preserve">ake sure the report </w:t>
            </w:r>
            <w:r w:rsidR="00CD5E68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take</w:t>
            </w:r>
            <w:r w:rsidR="005C5793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s</w:t>
            </w:r>
            <w:r w:rsidR="00CD5E68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 xml:space="preserve"> account of the target audience</w:t>
            </w:r>
            <w:r w:rsidR="000A2DB6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/s</w:t>
            </w:r>
            <w:r w:rsidR="00CD5E68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 xml:space="preserve"> in terms of length, </w:t>
            </w:r>
            <w:r w:rsidR="00CB2BC5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language,</w:t>
            </w:r>
            <w:r w:rsidR="00CD5E68" w:rsidRPr="00CB2BC5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 xml:space="preserve"> and use of terminology.</w:t>
            </w:r>
          </w:p>
        </w:tc>
      </w:tr>
      <w:tr w:rsidR="00E3537A" w:rsidRPr="000E3B9A" w14:paraId="44F6ABA6" w14:textId="77777777" w:rsidTr="00D156F7">
        <w:tc>
          <w:tcPr>
            <w:tcW w:w="13948" w:type="dxa"/>
          </w:tcPr>
          <w:p w14:paraId="166232A4" w14:textId="77777777" w:rsidR="00E3537A" w:rsidRDefault="00AD4491" w:rsidP="009B44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0E3B9A">
              <w:rPr>
                <w:rFonts w:ascii="Arial" w:hAnsi="Arial" w:cs="Arial"/>
                <w:bCs/>
                <w:i/>
                <w:iCs/>
              </w:rPr>
              <w:t>(Use this space to record your considerations)</w:t>
            </w:r>
          </w:p>
          <w:p w14:paraId="577BD712" w14:textId="57133196" w:rsidR="009B4404" w:rsidRPr="009B4404" w:rsidRDefault="009B4404" w:rsidP="009B44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14:paraId="1445AC3E" w14:textId="54CFF76D" w:rsidR="00D156F7" w:rsidRPr="000E3B9A" w:rsidRDefault="00D156F7" w:rsidP="00CD5E68">
      <w:pPr>
        <w:pStyle w:val="Heading1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5203B" w:rsidRPr="000E3B9A" w14:paraId="062BC726" w14:textId="77777777" w:rsidTr="0055203B">
        <w:tc>
          <w:tcPr>
            <w:tcW w:w="13948" w:type="dxa"/>
            <w:shd w:val="clear" w:color="auto" w:fill="B8CCE4" w:themeFill="accent1" w:themeFillTint="66"/>
          </w:tcPr>
          <w:p w14:paraId="31D6529B" w14:textId="6502C5E6" w:rsidR="0055203B" w:rsidRPr="0055203B" w:rsidRDefault="0055203B" w:rsidP="0029050A">
            <w:pPr>
              <w:pStyle w:val="NormalWeb"/>
              <w:spacing w:line="3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2BC5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="00CB2BC5" w:rsidRPr="00CB2BC5">
              <w:rPr>
                <w:rFonts w:ascii="Arial" w:hAnsi="Arial" w:cs="Arial"/>
                <w:sz w:val="22"/>
                <w:szCs w:val="22"/>
                <w:u w:val="single"/>
              </w:rPr>
              <w:t>TEP</w:t>
            </w:r>
            <w:r w:rsidRPr="00CB2BC5">
              <w:rPr>
                <w:rFonts w:ascii="Arial" w:hAnsi="Arial" w:cs="Arial"/>
                <w:sz w:val="22"/>
                <w:szCs w:val="22"/>
                <w:u w:val="single"/>
              </w:rPr>
              <w:t xml:space="preserve"> 5</w:t>
            </w:r>
            <w:r w:rsidRPr="00CB2BC5">
              <w:rPr>
                <w:rFonts w:ascii="Arial" w:hAnsi="Arial" w:cs="Arial"/>
                <w:sz w:val="22"/>
                <w:szCs w:val="22"/>
              </w:rPr>
              <w:t>:</w:t>
            </w:r>
            <w:r w:rsidRPr="00552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Monitoring and Evaluation</w:t>
            </w:r>
          </w:p>
        </w:tc>
      </w:tr>
      <w:tr w:rsidR="00E3537A" w:rsidRPr="000E3B9A" w14:paraId="589CA813" w14:textId="77777777" w:rsidTr="0029050A">
        <w:tc>
          <w:tcPr>
            <w:tcW w:w="13948" w:type="dxa"/>
          </w:tcPr>
          <w:p w14:paraId="67A8FA71" w14:textId="3E9A577C" w:rsidR="00CD5E68" w:rsidRPr="000E3B9A" w:rsidRDefault="00CD5E68" w:rsidP="0029050A">
            <w:pPr>
              <w:pStyle w:val="NormalWeb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  <w:r w:rsidRPr="000E3B9A">
              <w:rPr>
                <w:rFonts w:ascii="Arial" w:hAnsi="Arial" w:cs="Arial"/>
                <w:sz w:val="22"/>
                <w:szCs w:val="22"/>
              </w:rPr>
              <w:t xml:space="preserve">This should be an integral part of the process post implementation of the decision, but this important step is often neglected or overlooked. As the aim of a health impact assessment is to inform decision-making, it is useful to evaluate how the information was used, its usefulness as seen by its target audience(s) and </w:t>
            </w:r>
            <w:r w:rsidR="005D4BB0" w:rsidRPr="000E3B9A">
              <w:rPr>
                <w:rFonts w:ascii="Arial" w:hAnsi="Arial" w:cs="Arial"/>
                <w:sz w:val="22"/>
                <w:szCs w:val="22"/>
              </w:rPr>
              <w:t>whether</w:t>
            </w:r>
            <w:r w:rsidRPr="000E3B9A">
              <w:rPr>
                <w:rFonts w:ascii="Arial" w:hAnsi="Arial" w:cs="Arial"/>
                <w:sz w:val="22"/>
                <w:szCs w:val="22"/>
              </w:rPr>
              <w:t xml:space="preserve"> it influenced decision-making and developments. </w:t>
            </w:r>
            <w:r w:rsidR="009B4404">
              <w:rPr>
                <w:rFonts w:ascii="Arial" w:hAnsi="Arial" w:cs="Arial"/>
                <w:sz w:val="22"/>
                <w:szCs w:val="22"/>
              </w:rPr>
              <w:t>Evaluation</w:t>
            </w:r>
            <w:r w:rsidRPr="000E3B9A">
              <w:rPr>
                <w:rFonts w:ascii="Arial" w:hAnsi="Arial" w:cs="Arial"/>
                <w:sz w:val="22"/>
                <w:szCs w:val="22"/>
              </w:rPr>
              <w:t xml:space="preserve"> also provide</w:t>
            </w:r>
            <w:r w:rsidR="009B4404">
              <w:rPr>
                <w:rFonts w:ascii="Arial" w:hAnsi="Arial" w:cs="Arial"/>
                <w:sz w:val="22"/>
                <w:szCs w:val="22"/>
              </w:rPr>
              <w:t>s</w:t>
            </w:r>
            <w:r w:rsidRPr="000E3B9A">
              <w:rPr>
                <w:rFonts w:ascii="Arial" w:hAnsi="Arial" w:cs="Arial"/>
                <w:sz w:val="22"/>
                <w:szCs w:val="22"/>
              </w:rPr>
              <w:t xml:space="preserve"> an opportunity to reflect on the HIA, the time and resources used, what worked well, and how difficulties were overcome. Documents of this kind provide a source of learning and should be shared as the basis for future development. </w:t>
            </w:r>
          </w:p>
        </w:tc>
      </w:tr>
      <w:tr w:rsidR="00E3537A" w:rsidRPr="000E3B9A" w14:paraId="5BA94AA5" w14:textId="77777777" w:rsidTr="0029050A">
        <w:tc>
          <w:tcPr>
            <w:tcW w:w="13948" w:type="dxa"/>
          </w:tcPr>
          <w:p w14:paraId="5F0DA919" w14:textId="77777777" w:rsidR="00E3537A" w:rsidRDefault="00AD4491" w:rsidP="009B44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0E3B9A">
              <w:rPr>
                <w:rFonts w:ascii="Arial" w:hAnsi="Arial" w:cs="Arial"/>
                <w:bCs/>
                <w:i/>
                <w:iCs/>
              </w:rPr>
              <w:t>(Use this space to record your considerations)</w:t>
            </w:r>
          </w:p>
          <w:p w14:paraId="0CE8D7BE" w14:textId="6471065A" w:rsidR="009B4404" w:rsidRPr="009B4404" w:rsidRDefault="009B4404" w:rsidP="009B44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14:paraId="549B5F6F" w14:textId="77777777" w:rsidR="00CD5E68" w:rsidRPr="000E3B9A" w:rsidRDefault="00CD5E68" w:rsidP="00A52404">
      <w:pPr>
        <w:pStyle w:val="NormalWeb"/>
        <w:spacing w:line="360" w:lineRule="atLeast"/>
        <w:rPr>
          <w:rFonts w:ascii="Arial" w:hAnsi="Arial" w:cs="Arial"/>
          <w:i/>
          <w:iCs/>
          <w:sz w:val="22"/>
          <w:szCs w:val="22"/>
        </w:rPr>
      </w:pPr>
    </w:p>
    <w:sectPr w:rsidR="00CD5E68" w:rsidRPr="000E3B9A" w:rsidSect="00F9701A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C51D3" w14:textId="77777777" w:rsidR="002318B9" w:rsidRDefault="002318B9" w:rsidP="002318B9">
      <w:pPr>
        <w:spacing w:after="0" w:line="240" w:lineRule="auto"/>
      </w:pPr>
      <w:r>
        <w:separator/>
      </w:r>
    </w:p>
  </w:endnote>
  <w:endnote w:type="continuationSeparator" w:id="0">
    <w:p w14:paraId="74461202" w14:textId="77777777" w:rsidR="002318B9" w:rsidRDefault="002318B9" w:rsidP="0023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DCAA1" w14:textId="2A02C3A4" w:rsidR="002318B9" w:rsidRPr="00CB2BC5" w:rsidRDefault="00423AAD">
    <w:pPr>
      <w:pStyle w:val="Footer"/>
      <w:rPr>
        <w:rFonts w:ascii="Arial" w:hAnsi="Arial" w:cs="Arial"/>
        <w:sz w:val="20"/>
        <w:szCs w:val="20"/>
      </w:rPr>
    </w:pPr>
    <w:r w:rsidRPr="00CB2BC5">
      <w:rPr>
        <w:rFonts w:ascii="Arial" w:hAnsi="Arial" w:cs="Arial"/>
        <w:sz w:val="20"/>
        <w:szCs w:val="20"/>
      </w:rPr>
      <w:t xml:space="preserve">Gloucestershire </w:t>
    </w:r>
    <w:r w:rsidR="00CB2BC5">
      <w:rPr>
        <w:rFonts w:ascii="Arial" w:hAnsi="Arial" w:cs="Arial"/>
        <w:sz w:val="20"/>
        <w:szCs w:val="20"/>
      </w:rPr>
      <w:t xml:space="preserve">Rapid </w:t>
    </w:r>
    <w:r w:rsidRPr="00CB2BC5">
      <w:rPr>
        <w:rFonts w:ascii="Arial" w:hAnsi="Arial" w:cs="Arial"/>
        <w:sz w:val="20"/>
        <w:szCs w:val="20"/>
      </w:rPr>
      <w:t>HIA</w:t>
    </w:r>
    <w:r w:rsidR="00AD4491" w:rsidRPr="00CB2BC5">
      <w:rPr>
        <w:rFonts w:ascii="Arial" w:hAnsi="Arial" w:cs="Arial"/>
        <w:sz w:val="20"/>
        <w:szCs w:val="20"/>
      </w:rPr>
      <w:t xml:space="preserve"> template and guidance</w:t>
    </w:r>
    <w:r w:rsidRPr="00CB2BC5">
      <w:rPr>
        <w:rFonts w:ascii="Arial" w:hAnsi="Arial" w:cs="Arial"/>
        <w:sz w:val="20"/>
        <w:szCs w:val="20"/>
      </w:rPr>
      <w:t xml:space="preserve"> based on</w:t>
    </w:r>
    <w:r w:rsidR="00A52404" w:rsidRPr="00CB2BC5">
      <w:rPr>
        <w:rFonts w:ascii="Arial" w:hAnsi="Arial" w:cs="Arial"/>
        <w:sz w:val="20"/>
        <w:szCs w:val="20"/>
      </w:rPr>
      <w:t xml:space="preserve"> </w:t>
    </w:r>
    <w:hyperlink r:id="rId1" w:history="1">
      <w:r w:rsidR="00A52404" w:rsidRPr="00CB2BC5">
        <w:rPr>
          <w:rStyle w:val="Hyperlink"/>
          <w:rFonts w:ascii="Arial" w:hAnsi="Arial" w:cs="Arial"/>
          <w:sz w:val="20"/>
          <w:szCs w:val="20"/>
        </w:rPr>
        <w:t>The Welsh HIA Guide</w:t>
      </w:r>
    </w:hyperlink>
    <w:r w:rsidR="00A52404" w:rsidRPr="00CB2BC5">
      <w:rPr>
        <w:rFonts w:ascii="Arial" w:hAnsi="Arial" w:cs="Arial"/>
        <w:sz w:val="20"/>
        <w:szCs w:val="20"/>
      </w:rPr>
      <w:t xml:space="preserve"> and </w:t>
    </w:r>
    <w:hyperlink r:id="rId2" w:history="1">
      <w:r w:rsidR="00A52404" w:rsidRPr="00CB2BC5">
        <w:rPr>
          <w:rStyle w:val="Hyperlink"/>
          <w:rFonts w:ascii="Arial" w:hAnsi="Arial" w:cs="Arial"/>
          <w:sz w:val="20"/>
          <w:szCs w:val="20"/>
        </w:rPr>
        <w:t>WHO HIA</w:t>
      </w:r>
    </w:hyperlink>
    <w:r w:rsidR="00A52404" w:rsidRPr="00CB2BC5">
      <w:rPr>
        <w:rFonts w:ascii="Arial" w:hAnsi="Arial" w:cs="Arial"/>
        <w:sz w:val="20"/>
        <w:szCs w:val="20"/>
      </w:rPr>
      <w:t xml:space="preserve"> </w:t>
    </w:r>
    <w:r w:rsidR="00E45428" w:rsidRPr="00CB2BC5">
      <w:rPr>
        <w:rFonts w:ascii="Arial" w:hAnsi="Arial" w:cs="Arial"/>
        <w:sz w:val="20"/>
        <w:szCs w:val="20"/>
      </w:rPr>
      <w:t>l</w:t>
    </w:r>
    <w:r w:rsidR="00AD4491" w:rsidRPr="00CB2BC5">
      <w:rPr>
        <w:rFonts w:ascii="Arial" w:hAnsi="Arial" w:cs="Arial"/>
        <w:sz w:val="20"/>
        <w:szCs w:val="20"/>
      </w:rPr>
      <w:t xml:space="preserve">ast updated </w:t>
    </w:r>
    <w:r w:rsidR="006C5B99" w:rsidRPr="00CB2BC5">
      <w:rPr>
        <w:rFonts w:ascii="Arial" w:hAnsi="Arial" w:cs="Arial"/>
        <w:sz w:val="20"/>
        <w:szCs w:val="20"/>
      </w:rPr>
      <w:t>Mar</w:t>
    </w:r>
    <w:r w:rsidR="00E45428" w:rsidRPr="00CB2BC5">
      <w:rPr>
        <w:rFonts w:ascii="Arial" w:hAnsi="Arial" w:cs="Arial"/>
        <w:sz w:val="20"/>
        <w:szCs w:val="20"/>
      </w:rPr>
      <w:t>ch</w:t>
    </w:r>
    <w:r w:rsidR="00AD4491" w:rsidRPr="00CB2BC5">
      <w:rPr>
        <w:rFonts w:ascii="Arial" w:hAnsi="Arial" w:cs="Arial"/>
        <w:sz w:val="20"/>
        <w:szCs w:val="20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BC3A" w14:textId="77777777" w:rsidR="002318B9" w:rsidRDefault="002318B9" w:rsidP="002318B9">
      <w:pPr>
        <w:spacing w:after="0" w:line="240" w:lineRule="auto"/>
      </w:pPr>
      <w:r>
        <w:separator/>
      </w:r>
    </w:p>
  </w:footnote>
  <w:footnote w:type="continuationSeparator" w:id="0">
    <w:p w14:paraId="200EC587" w14:textId="77777777" w:rsidR="002318B9" w:rsidRDefault="002318B9" w:rsidP="00231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64D7" w14:textId="787FD165" w:rsidR="00214730" w:rsidRPr="00E3537A" w:rsidRDefault="00214730" w:rsidP="00214730">
    <w:pPr>
      <w:pStyle w:val="Heading1"/>
      <w:jc w:val="center"/>
      <w:rPr>
        <w:rFonts w:ascii="Arial" w:hAnsi="Arial" w:cs="Arial"/>
        <w:color w:val="auto"/>
        <w:sz w:val="22"/>
        <w:szCs w:val="22"/>
      </w:rPr>
    </w:pPr>
    <w:r>
      <w:rPr>
        <w:rFonts w:ascii="Arial" w:hAnsi="Arial" w:cs="Arial"/>
        <w:color w:val="auto"/>
        <w:sz w:val="22"/>
        <w:szCs w:val="22"/>
      </w:rPr>
      <w:t>G</w:t>
    </w:r>
    <w:r w:rsidRPr="00E3537A">
      <w:rPr>
        <w:rFonts w:ascii="Arial" w:hAnsi="Arial" w:cs="Arial"/>
        <w:color w:val="auto"/>
        <w:sz w:val="22"/>
        <w:szCs w:val="22"/>
      </w:rPr>
      <w:t>loucestershire</w:t>
    </w:r>
    <w:r w:rsidR="000E3B9A">
      <w:rPr>
        <w:rFonts w:ascii="Arial" w:hAnsi="Arial" w:cs="Arial"/>
        <w:color w:val="auto"/>
        <w:sz w:val="22"/>
        <w:szCs w:val="22"/>
      </w:rPr>
      <w:t xml:space="preserve"> Rapid</w:t>
    </w:r>
    <w:r w:rsidRPr="00E3537A">
      <w:rPr>
        <w:rFonts w:ascii="Arial" w:hAnsi="Arial" w:cs="Arial"/>
        <w:color w:val="auto"/>
        <w:sz w:val="22"/>
        <w:szCs w:val="22"/>
      </w:rPr>
      <w:t xml:space="preserve"> Health Impact Assessment (HIA)</w:t>
    </w:r>
  </w:p>
  <w:p w14:paraId="3624FC07" w14:textId="77777777" w:rsidR="00214730" w:rsidRDefault="00214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E95"/>
    <w:multiLevelType w:val="hybridMultilevel"/>
    <w:tmpl w:val="511CFD9E"/>
    <w:lvl w:ilvl="0" w:tplc="8A44F3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148D8"/>
    <w:multiLevelType w:val="hybridMultilevel"/>
    <w:tmpl w:val="9F9EF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92D21"/>
    <w:multiLevelType w:val="hybridMultilevel"/>
    <w:tmpl w:val="0B96DF40"/>
    <w:lvl w:ilvl="0" w:tplc="93464B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5652E5"/>
    <w:multiLevelType w:val="multilevel"/>
    <w:tmpl w:val="A232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95195"/>
    <w:multiLevelType w:val="hybridMultilevel"/>
    <w:tmpl w:val="11BCD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7A87"/>
    <w:multiLevelType w:val="multilevel"/>
    <w:tmpl w:val="A03A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43980"/>
    <w:multiLevelType w:val="hybridMultilevel"/>
    <w:tmpl w:val="228C9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4CE6"/>
    <w:multiLevelType w:val="hybridMultilevel"/>
    <w:tmpl w:val="AE266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A0EC3"/>
    <w:multiLevelType w:val="hybridMultilevel"/>
    <w:tmpl w:val="9A4E0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9093E"/>
    <w:multiLevelType w:val="hybridMultilevel"/>
    <w:tmpl w:val="8C121FA0"/>
    <w:lvl w:ilvl="0" w:tplc="811EFA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6228" w:themeColor="accent3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225A5"/>
    <w:multiLevelType w:val="hybridMultilevel"/>
    <w:tmpl w:val="B2366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051E5"/>
    <w:multiLevelType w:val="hybridMultilevel"/>
    <w:tmpl w:val="B80AEFEA"/>
    <w:lvl w:ilvl="0" w:tplc="F88002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CB5043"/>
    <w:multiLevelType w:val="hybridMultilevel"/>
    <w:tmpl w:val="B31CE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343C2"/>
    <w:multiLevelType w:val="hybridMultilevel"/>
    <w:tmpl w:val="CDF006A0"/>
    <w:lvl w:ilvl="0" w:tplc="93464B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D54AC"/>
    <w:multiLevelType w:val="multilevel"/>
    <w:tmpl w:val="3D5C3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194B80"/>
    <w:multiLevelType w:val="hybridMultilevel"/>
    <w:tmpl w:val="E2847D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D43B3"/>
    <w:multiLevelType w:val="hybridMultilevel"/>
    <w:tmpl w:val="EB4EC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B57B6"/>
    <w:multiLevelType w:val="hybridMultilevel"/>
    <w:tmpl w:val="02C24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781FA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F3728"/>
    <w:multiLevelType w:val="hybridMultilevel"/>
    <w:tmpl w:val="8EE42DFA"/>
    <w:lvl w:ilvl="0" w:tplc="F88002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7DB9"/>
    <w:multiLevelType w:val="hybridMultilevel"/>
    <w:tmpl w:val="ACE8E5A0"/>
    <w:lvl w:ilvl="0" w:tplc="BFF82F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18B4F186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501B2"/>
    <w:multiLevelType w:val="hybridMultilevel"/>
    <w:tmpl w:val="FE48B89C"/>
    <w:lvl w:ilvl="0" w:tplc="4ECA33D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45395"/>
    <w:multiLevelType w:val="hybridMultilevel"/>
    <w:tmpl w:val="75D4BAE6"/>
    <w:lvl w:ilvl="0" w:tplc="C3A085B4">
      <w:start w:val="1"/>
      <w:numFmt w:val="bullet"/>
      <w:lvlText w:val="-"/>
      <w:lvlJc w:val="left"/>
      <w:pPr>
        <w:ind w:left="720" w:hanging="360"/>
      </w:pPr>
      <w:rPr>
        <w:rFonts w:ascii="Arabic Typesetting" w:hAnsi="Arabic Typesetting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A528F"/>
    <w:multiLevelType w:val="hybridMultilevel"/>
    <w:tmpl w:val="42809424"/>
    <w:lvl w:ilvl="0" w:tplc="39082F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C5B92"/>
    <w:multiLevelType w:val="multilevel"/>
    <w:tmpl w:val="6DF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D917BD"/>
    <w:multiLevelType w:val="hybridMultilevel"/>
    <w:tmpl w:val="8C2E33E4"/>
    <w:lvl w:ilvl="0" w:tplc="E62CAA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3087D"/>
    <w:multiLevelType w:val="multilevel"/>
    <w:tmpl w:val="B740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B5FD1"/>
    <w:multiLevelType w:val="hybridMultilevel"/>
    <w:tmpl w:val="26F84F86"/>
    <w:lvl w:ilvl="0" w:tplc="93464B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0C863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D24BD"/>
    <w:multiLevelType w:val="multilevel"/>
    <w:tmpl w:val="3802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DA451A"/>
    <w:multiLevelType w:val="hybridMultilevel"/>
    <w:tmpl w:val="384C0C0E"/>
    <w:lvl w:ilvl="0" w:tplc="793ECF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F162E"/>
    <w:multiLevelType w:val="hybridMultilevel"/>
    <w:tmpl w:val="3CD08832"/>
    <w:lvl w:ilvl="0" w:tplc="93464B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70983"/>
    <w:multiLevelType w:val="hybridMultilevel"/>
    <w:tmpl w:val="0E0AD25A"/>
    <w:lvl w:ilvl="0" w:tplc="93464B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23660"/>
    <w:multiLevelType w:val="hybridMultilevel"/>
    <w:tmpl w:val="768AFB9E"/>
    <w:lvl w:ilvl="0" w:tplc="E62E03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F6B18"/>
    <w:multiLevelType w:val="hybridMultilevel"/>
    <w:tmpl w:val="F828A9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12DA8"/>
    <w:multiLevelType w:val="hybridMultilevel"/>
    <w:tmpl w:val="98F8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B2DEA"/>
    <w:multiLevelType w:val="hybridMultilevel"/>
    <w:tmpl w:val="5972CF30"/>
    <w:lvl w:ilvl="0" w:tplc="BFF82F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43BD5"/>
    <w:multiLevelType w:val="hybridMultilevel"/>
    <w:tmpl w:val="2140FB74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6C071DCF"/>
    <w:multiLevelType w:val="hybridMultilevel"/>
    <w:tmpl w:val="C1125C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A61602"/>
    <w:multiLevelType w:val="hybridMultilevel"/>
    <w:tmpl w:val="1AF23D92"/>
    <w:lvl w:ilvl="0" w:tplc="4ECA33D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A84C51"/>
    <w:multiLevelType w:val="multilevel"/>
    <w:tmpl w:val="F502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D16F7B"/>
    <w:multiLevelType w:val="hybridMultilevel"/>
    <w:tmpl w:val="F5D2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F2D2A"/>
    <w:multiLevelType w:val="hybridMultilevel"/>
    <w:tmpl w:val="D0968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F41E4"/>
    <w:multiLevelType w:val="hybridMultilevel"/>
    <w:tmpl w:val="800CD37A"/>
    <w:lvl w:ilvl="0" w:tplc="D9123F3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E5C43"/>
    <w:multiLevelType w:val="hybridMultilevel"/>
    <w:tmpl w:val="5E4059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935C66"/>
    <w:multiLevelType w:val="hybridMultilevel"/>
    <w:tmpl w:val="8226738C"/>
    <w:lvl w:ilvl="0" w:tplc="D9320784"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925368"/>
    <w:multiLevelType w:val="hybridMultilevel"/>
    <w:tmpl w:val="1458E1B6"/>
    <w:lvl w:ilvl="0" w:tplc="F88002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80870">
    <w:abstractNumId w:val="12"/>
  </w:num>
  <w:num w:numId="2" w16cid:durableId="578708227">
    <w:abstractNumId w:val="40"/>
  </w:num>
  <w:num w:numId="3" w16cid:durableId="541556015">
    <w:abstractNumId w:val="19"/>
  </w:num>
  <w:num w:numId="4" w16cid:durableId="2107579563">
    <w:abstractNumId w:val="35"/>
  </w:num>
  <w:num w:numId="5" w16cid:durableId="794982949">
    <w:abstractNumId w:val="21"/>
  </w:num>
  <w:num w:numId="6" w16cid:durableId="1117067245">
    <w:abstractNumId w:val="28"/>
  </w:num>
  <w:num w:numId="7" w16cid:durableId="1797990669">
    <w:abstractNumId w:val="34"/>
  </w:num>
  <w:num w:numId="8" w16cid:durableId="1476951440">
    <w:abstractNumId w:val="31"/>
  </w:num>
  <w:num w:numId="9" w16cid:durableId="718287752">
    <w:abstractNumId w:val="5"/>
  </w:num>
  <w:num w:numId="10" w16cid:durableId="1077436552">
    <w:abstractNumId w:val="4"/>
  </w:num>
  <w:num w:numId="11" w16cid:durableId="566918267">
    <w:abstractNumId w:val="38"/>
  </w:num>
  <w:num w:numId="12" w16cid:durableId="1060323519">
    <w:abstractNumId w:val="27"/>
  </w:num>
  <w:num w:numId="13" w16cid:durableId="350881160">
    <w:abstractNumId w:val="25"/>
  </w:num>
  <w:num w:numId="14" w16cid:durableId="1605461844">
    <w:abstractNumId w:val="23"/>
  </w:num>
  <w:num w:numId="15" w16cid:durableId="1141002840">
    <w:abstractNumId w:val="3"/>
  </w:num>
  <w:num w:numId="16" w16cid:durableId="36004606">
    <w:abstractNumId w:val="14"/>
  </w:num>
  <w:num w:numId="17" w16cid:durableId="1553229812">
    <w:abstractNumId w:val="0"/>
  </w:num>
  <w:num w:numId="18" w16cid:durableId="115104659">
    <w:abstractNumId w:val="41"/>
  </w:num>
  <w:num w:numId="19" w16cid:durableId="281806371">
    <w:abstractNumId w:val="13"/>
  </w:num>
  <w:num w:numId="20" w16cid:durableId="1465342670">
    <w:abstractNumId w:val="26"/>
  </w:num>
  <w:num w:numId="21" w16cid:durableId="1773666636">
    <w:abstractNumId w:val="30"/>
  </w:num>
  <w:num w:numId="22" w16cid:durableId="1191379633">
    <w:abstractNumId w:val="1"/>
  </w:num>
  <w:num w:numId="23" w16cid:durableId="1223368871">
    <w:abstractNumId w:val="33"/>
  </w:num>
  <w:num w:numId="24" w16cid:durableId="1259830758">
    <w:abstractNumId w:val="20"/>
  </w:num>
  <w:num w:numId="25" w16cid:durableId="277686610">
    <w:abstractNumId w:val="37"/>
  </w:num>
  <w:num w:numId="26" w16cid:durableId="34278221">
    <w:abstractNumId w:val="43"/>
  </w:num>
  <w:num w:numId="27" w16cid:durableId="872840452">
    <w:abstractNumId w:val="36"/>
  </w:num>
  <w:num w:numId="28" w16cid:durableId="1398282528">
    <w:abstractNumId w:val="6"/>
  </w:num>
  <w:num w:numId="29" w16cid:durableId="1633748671">
    <w:abstractNumId w:val="2"/>
  </w:num>
  <w:num w:numId="30" w16cid:durableId="349338287">
    <w:abstractNumId w:val="11"/>
  </w:num>
  <w:num w:numId="31" w16cid:durableId="191379832">
    <w:abstractNumId w:val="44"/>
  </w:num>
  <w:num w:numId="32" w16cid:durableId="150100599">
    <w:abstractNumId w:val="18"/>
  </w:num>
  <w:num w:numId="33" w16cid:durableId="1137182413">
    <w:abstractNumId w:val="7"/>
  </w:num>
  <w:num w:numId="34" w16cid:durableId="175123822">
    <w:abstractNumId w:val="10"/>
  </w:num>
  <w:num w:numId="35" w16cid:durableId="449514142">
    <w:abstractNumId w:val="42"/>
  </w:num>
  <w:num w:numId="36" w16cid:durableId="972632695">
    <w:abstractNumId w:val="24"/>
  </w:num>
  <w:num w:numId="37" w16cid:durableId="941841171">
    <w:abstractNumId w:val="16"/>
  </w:num>
  <w:num w:numId="38" w16cid:durableId="1602303109">
    <w:abstractNumId w:val="8"/>
  </w:num>
  <w:num w:numId="39" w16cid:durableId="305862389">
    <w:abstractNumId w:val="39"/>
  </w:num>
  <w:num w:numId="40" w16cid:durableId="1342007744">
    <w:abstractNumId w:val="17"/>
  </w:num>
  <w:num w:numId="41" w16cid:durableId="609318573">
    <w:abstractNumId w:val="22"/>
  </w:num>
  <w:num w:numId="42" w16cid:durableId="555244372">
    <w:abstractNumId w:val="15"/>
  </w:num>
  <w:num w:numId="43" w16cid:durableId="1027561907">
    <w:abstractNumId w:val="32"/>
  </w:num>
  <w:num w:numId="44" w16cid:durableId="1174614484">
    <w:abstractNumId w:val="29"/>
  </w:num>
  <w:num w:numId="45" w16cid:durableId="18435414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9B"/>
    <w:rsid w:val="00016A1F"/>
    <w:rsid w:val="0002384B"/>
    <w:rsid w:val="000250C6"/>
    <w:rsid w:val="0003046A"/>
    <w:rsid w:val="0009306B"/>
    <w:rsid w:val="000A2DB6"/>
    <w:rsid w:val="000E3B9A"/>
    <w:rsid w:val="00137335"/>
    <w:rsid w:val="00167C53"/>
    <w:rsid w:val="001A7ABC"/>
    <w:rsid w:val="001B24F5"/>
    <w:rsid w:val="00214730"/>
    <w:rsid w:val="002228C1"/>
    <w:rsid w:val="002318B9"/>
    <w:rsid w:val="002E4804"/>
    <w:rsid w:val="002F5B06"/>
    <w:rsid w:val="0034551C"/>
    <w:rsid w:val="00345F56"/>
    <w:rsid w:val="00370C9B"/>
    <w:rsid w:val="00391FBF"/>
    <w:rsid w:val="003953C4"/>
    <w:rsid w:val="0042333E"/>
    <w:rsid w:val="00423AAD"/>
    <w:rsid w:val="00433F5B"/>
    <w:rsid w:val="00435429"/>
    <w:rsid w:val="0044266C"/>
    <w:rsid w:val="004A3F17"/>
    <w:rsid w:val="004B21CB"/>
    <w:rsid w:val="004B4D42"/>
    <w:rsid w:val="004C0E59"/>
    <w:rsid w:val="005046EE"/>
    <w:rsid w:val="00512F6B"/>
    <w:rsid w:val="00525587"/>
    <w:rsid w:val="00550683"/>
    <w:rsid w:val="0055203B"/>
    <w:rsid w:val="00592D4B"/>
    <w:rsid w:val="00594577"/>
    <w:rsid w:val="005A6881"/>
    <w:rsid w:val="005C5793"/>
    <w:rsid w:val="005D4BB0"/>
    <w:rsid w:val="005E5D46"/>
    <w:rsid w:val="005E73A3"/>
    <w:rsid w:val="006361D7"/>
    <w:rsid w:val="00641BCD"/>
    <w:rsid w:val="00645C0B"/>
    <w:rsid w:val="006466BF"/>
    <w:rsid w:val="006513B8"/>
    <w:rsid w:val="0066775E"/>
    <w:rsid w:val="006B10E9"/>
    <w:rsid w:val="006B5FA6"/>
    <w:rsid w:val="006C5B99"/>
    <w:rsid w:val="00735F2D"/>
    <w:rsid w:val="007642E0"/>
    <w:rsid w:val="0078511F"/>
    <w:rsid w:val="00797262"/>
    <w:rsid w:val="00803926"/>
    <w:rsid w:val="00827F01"/>
    <w:rsid w:val="008A4969"/>
    <w:rsid w:val="008B6A0E"/>
    <w:rsid w:val="008D3C6E"/>
    <w:rsid w:val="008E3E01"/>
    <w:rsid w:val="00905128"/>
    <w:rsid w:val="00910A3E"/>
    <w:rsid w:val="00910E7B"/>
    <w:rsid w:val="00926611"/>
    <w:rsid w:val="00971DA7"/>
    <w:rsid w:val="009928D4"/>
    <w:rsid w:val="0099591C"/>
    <w:rsid w:val="009A6332"/>
    <w:rsid w:val="009B31CC"/>
    <w:rsid w:val="009B4404"/>
    <w:rsid w:val="009E397E"/>
    <w:rsid w:val="009F7BA8"/>
    <w:rsid w:val="00A05926"/>
    <w:rsid w:val="00A05B81"/>
    <w:rsid w:val="00A2641F"/>
    <w:rsid w:val="00A52404"/>
    <w:rsid w:val="00A52ED4"/>
    <w:rsid w:val="00A546F8"/>
    <w:rsid w:val="00AA2FAA"/>
    <w:rsid w:val="00AD4491"/>
    <w:rsid w:val="00B0669B"/>
    <w:rsid w:val="00B100E3"/>
    <w:rsid w:val="00B419E2"/>
    <w:rsid w:val="00B668D1"/>
    <w:rsid w:val="00B76398"/>
    <w:rsid w:val="00B775F7"/>
    <w:rsid w:val="00B80CF3"/>
    <w:rsid w:val="00BE3D44"/>
    <w:rsid w:val="00BF6F90"/>
    <w:rsid w:val="00C059B3"/>
    <w:rsid w:val="00C82597"/>
    <w:rsid w:val="00C96F9E"/>
    <w:rsid w:val="00CB2BC5"/>
    <w:rsid w:val="00CD5E68"/>
    <w:rsid w:val="00D156F7"/>
    <w:rsid w:val="00D27234"/>
    <w:rsid w:val="00D4501C"/>
    <w:rsid w:val="00D82268"/>
    <w:rsid w:val="00D957C0"/>
    <w:rsid w:val="00DC6451"/>
    <w:rsid w:val="00DF0514"/>
    <w:rsid w:val="00E00BBC"/>
    <w:rsid w:val="00E3537A"/>
    <w:rsid w:val="00E37DEE"/>
    <w:rsid w:val="00E45428"/>
    <w:rsid w:val="00E469E1"/>
    <w:rsid w:val="00E535CD"/>
    <w:rsid w:val="00EE31A5"/>
    <w:rsid w:val="00F076AD"/>
    <w:rsid w:val="00F16FE3"/>
    <w:rsid w:val="00F2444D"/>
    <w:rsid w:val="00F9701A"/>
    <w:rsid w:val="00FB2EB5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FED62"/>
  <w15:docId w15:val="{69356C54-380F-416B-813D-F1198E39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9B"/>
  </w:style>
  <w:style w:type="paragraph" w:styleId="Heading1">
    <w:name w:val="heading 1"/>
    <w:basedOn w:val="Normal"/>
    <w:next w:val="Normal"/>
    <w:link w:val="Heading1Char"/>
    <w:uiPriority w:val="9"/>
    <w:qFormat/>
    <w:rsid w:val="006513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669B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0669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0669B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0669B"/>
    <w:rPr>
      <w:rFonts w:eastAsiaTheme="minorEastAsia"/>
      <w:lang w:val="en-US" w:eastAsia="ja-JP"/>
    </w:rPr>
  </w:style>
  <w:style w:type="character" w:customStyle="1" w:styleId="ListParagraphChar">
    <w:name w:val="List Paragraph Char"/>
    <w:link w:val="ListParagraph"/>
    <w:uiPriority w:val="34"/>
    <w:rsid w:val="00B0669B"/>
  </w:style>
  <w:style w:type="character" w:customStyle="1" w:styleId="Heading3Char">
    <w:name w:val="Heading 3 Char"/>
    <w:basedOn w:val="DefaultParagraphFont"/>
    <w:link w:val="Heading3"/>
    <w:uiPriority w:val="9"/>
    <w:rsid w:val="00B0669B"/>
    <w:rPr>
      <w:rFonts w:ascii="Arial" w:eastAsiaTheme="majorEastAsia" w:hAnsi="Arial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9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3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ibliography">
    <w:name w:val="Bibliography"/>
    <w:basedOn w:val="Normal"/>
    <w:next w:val="Normal"/>
    <w:uiPriority w:val="37"/>
    <w:unhideWhenUsed/>
    <w:rsid w:val="00E535CD"/>
  </w:style>
  <w:style w:type="character" w:styleId="CommentReference">
    <w:name w:val="annotation reference"/>
    <w:basedOn w:val="DefaultParagraphFont"/>
    <w:uiPriority w:val="99"/>
    <w:semiHidden/>
    <w:unhideWhenUsed/>
    <w:rsid w:val="00803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9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76AD"/>
    <w:pPr>
      <w:spacing w:after="0" w:line="240" w:lineRule="auto"/>
    </w:pPr>
  </w:style>
  <w:style w:type="paragraph" w:customStyle="1" w:styleId="html-xx">
    <w:name w:val="html-xx"/>
    <w:basedOn w:val="Normal"/>
    <w:rsid w:val="0059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9457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57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8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1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8B9"/>
  </w:style>
  <w:style w:type="paragraph" w:styleId="Footer">
    <w:name w:val="footer"/>
    <w:basedOn w:val="Normal"/>
    <w:link w:val="FooterChar"/>
    <w:uiPriority w:val="99"/>
    <w:unhideWhenUsed/>
    <w:rsid w:val="00231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8B9"/>
  </w:style>
  <w:style w:type="paragraph" w:styleId="NormalWeb">
    <w:name w:val="Normal (Web)"/>
    <w:basedOn w:val="Normal"/>
    <w:uiPriority w:val="99"/>
    <w:unhideWhenUsed/>
    <w:rsid w:val="00A5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F7BA8"/>
    <w:rPr>
      <w:b/>
      <w:bCs/>
    </w:rPr>
  </w:style>
  <w:style w:type="table" w:styleId="TableGrid">
    <w:name w:val="Table Grid"/>
    <w:basedOn w:val="TableNormal"/>
    <w:uiPriority w:val="59"/>
    <w:rsid w:val="00DC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6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30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7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ucestershire.gov.uk/health-and-social-care/public-health/gloucestershire-s-prevention-and-health-inequalities-hub/tools-to-help-you-take-action-on-health-inequalities-in-your-work-areas/the-tools/health-impact-assessment-hia/suggested-data-sources-for-h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ho.int/tools/health-impact-assessments" TargetMode="External"/><Relationship Id="rId1" Type="http://schemas.openxmlformats.org/officeDocument/2006/relationships/hyperlink" Target="https://phwwhocc.co.uk/whiasu/wp-content/uploads/sites/3/2021/05/HIA_Tool_Kit_V2_WEB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Moc13</b:Tag>
    <b:SourceType>JournalArticle</b:SourceType>
    <b:Guid>{0F449A0E-7171-459D-AA99-00D7237B207A}</b:Guid>
    <b:Author>
      <b:Author>
        <b:NameList>
          <b:Person>
            <b:Last>Mocroft</b:Last>
            <b:First>A</b:First>
            <b:Middle>et al</b:Middle>
          </b:Person>
        </b:NameList>
      </b:Author>
    </b:Author>
    <b:Title>Risk Factors and Outcomes for Late Presentation for HIV-Positive Persons in Europe: Results from the Collaboration of Observational HIV Epidemiological Research Europe Study (COHERE)</b:Title>
    <b:JournalName> PLoS Med</b:JournalName>
    <b:Year>2013</b:Year>
    <b:Volume>10</b:Volume>
    <b:Issue>9</b:Issue>
    <b:RefOrder>12</b:RefOrder>
  </b:Source>
  <b:Source>
    <b:Tag>Hal13</b:Tag>
    <b:SourceType>Report</b:SourceType>
    <b:Guid>{D198CD40-B346-4A60-B290-DD340039045D}</b:Guid>
    <b:Title>Halve it – Position Paper</b:Title>
    <b:Year>2013</b:Year>
    <b:Author>
      <b:Author>
        <b:Corporate>Halve it Coalition</b:Corporate>
      </b:Author>
    </b:Author>
    <b:Publisher>Halve it</b:Publisher>
    <b:City>London</b:City>
    <b:RefOrder>13</b:RefOrder>
  </b:Source>
  <b:Source>
    <b:Tag>Bag17</b:Tag>
    <b:SourceType>JournalArticle</b:SourceType>
    <b:Guid>{03C01D43-5E13-4084-BF0B-45CCA1294262}</b:Guid>
    <b:Title>Cost-effectiveness of screening for HIV in primary care: a health economics modelling analysis</b:Title>
    <b:Year>2017</b:Year>
    <b:Author>
      <b:Author>
        <b:NameList>
          <b:Person>
            <b:Last>Baggaley</b:Last>
            <b:First>R</b:First>
          </b:Person>
          <b:Person>
            <b:Last>al</b:Last>
            <b:First>et</b:First>
          </b:Person>
        </b:NameList>
      </b:Author>
    </b:Author>
    <b:JournalName>The Lancet HIV</b:JournalName>
    <b:Pages>1-9</b:Pages>
    <b:Volume>17</b:Volume>
    <b:RefOrder>16</b:RefOrder>
  </b:Source>
  <b:Source>
    <b:Tag>Pub17</b:Tag>
    <b:SourceType>InternetSite</b:SourceType>
    <b:Guid>{95E23282-5AD0-4AA4-B37F-93379C2D4C77}</b:Guid>
    <b:Title>Sexual and Reproductive Health Profiles </b:Title>
    <b:Year>2017</b:Year>
    <b:Author>
      <b:Author>
        <b:Corporate>Public Health England</b:Corporate>
      </b:Author>
    </b:Author>
    <b:YearAccessed>2017</b:YearAccessed>
    <b:MonthAccessed>August</b:MonthAccessed>
    <b:URL>https://fingertips.phe.org.uk/profile/sexualhealth/data#page/6/gid/8000035/pat/6/par/E12000004/ati/102/are/E06000015/iid/90791/age/188/sex/4</b:URL>
    <b:RefOrder>14</b:RefOrder>
  </b:Source>
  <b:Source>
    <b:Tag>Sch11</b:Tag>
    <b:SourceType>JournalArticle</b:SourceType>
    <b:Guid>{59A3B9AB-9A44-439D-AE5B-1230185CBB23}</b:Guid>
    <b:Title>Identifying barriers to HIV testing: personal and contextual factors associated with late HIV testing</b:Title>
    <b:Year>2011</b:Year>
    <b:Author>
      <b:Author>
        <b:NameList>
          <b:Person>
            <b:Last>Schwarcz</b:Last>
            <b:First>S</b:First>
          </b:Person>
          <b:Person>
            <b:Last>Richards</b:Last>
            <b:First>T</b:First>
          </b:Person>
          <b:Person>
            <b:Last>Frank</b:Last>
            <b:First>H</b:First>
          </b:Person>
          <b:Person>
            <b:Last>Wenze</b:Last>
            <b:First>l</b:First>
            <b:Middle>C</b:Middle>
          </b:Person>
          <b:Person>
            <b:Last>Hsu</b:Last>
          </b:Person>
          <b:Person>
            <b:Last>Chin</b:Last>
            <b:First>C</b:First>
          </b:Person>
          <b:Person>
            <b:Last>al.</b:Last>
            <b:First>et</b:First>
          </b:Person>
        </b:NameList>
      </b:Author>
    </b:Author>
    <b:JournalName>AIDS Care</b:JournalName>
    <b:Pages>892-900</b:Pages>
    <b:Volume>23</b:Volume>
    <b:Issue>7</b:Issue>
    <b:RefOrder>15</b:RefOrder>
  </b:Source>
  <b:Source>
    <b:Tag>Dow06</b:Tag>
    <b:SourceType>Report</b:SourceType>
    <b:Guid>{830751E1-A1D4-4B4D-BDF3-C0C388FD1B7A}</b:Guid>
    <b:Author>
      <b:Author>
        <b:NameList>
          <b:Person>
            <b:Last>Downing</b:Last>
            <b:First>J</b:First>
          </b:Person>
          <b:Person>
            <b:Last>Jones</b:Last>
            <b:First>L</b:First>
          </b:Person>
          <b:Person>
            <b:Last>Cook</b:Last>
            <b:First>P</b:First>
          </b:Person>
          <b:Person>
            <b:Last>Bellis</b:Last>
            <b:First>M</b:First>
          </b:Person>
        </b:NameList>
      </b:Author>
    </b:Author>
    <b:Title>Prevention of sexually transmitted infections (STIs): a review of reviews into the effectiveness of non-clinical interventions</b:Title>
    <b:Year>2006</b:Year>
    <b:Publisher>Liverpool John Moores University</b:Publisher>
    <b:City>Liverpool</b:City>
    <b:RefOrder>5</b:RefOrder>
  </b:Source>
  <b:Source>
    <b:Tag>She10</b:Tag>
    <b:SourceType>Report</b:SourceType>
    <b:Guid>{73FEC24B-4697-4E97-A1A4-E921C9DF3F76}</b:Guid>
    <b:Author>
      <b:Author>
        <b:NameList>
          <b:Person>
            <b:Last>al</b:Last>
            <b:First>Shepherd</b:First>
            <b:Middle>et</b:Middle>
          </b:Person>
        </b:NameList>
      </b:Author>
    </b:Author>
    <b:Title>The effectiveness and cost effectiveness of behavioural interventions for the prevention of sexually transmitted infections in young people aged 13–19: a systematic review and economic evaluation</b:Title>
    <b:Year>2010</b:Year>
    <b:Publisher>Health Technology Assessment</b:Publisher>
    <b:City>London</b:City>
    <b:RefOrder>6</b:RefOrder>
  </b:Source>
  <b:Source>
    <b:Tag>Eur13</b:Tag>
    <b:SourceType>Report</b:SourceType>
    <b:Guid>{3848501E-9917-43A7-89EA-953526781A31}</b:Guid>
    <b:Author>
      <b:Author>
        <b:Corporate>European Centre for Disease Prevention and Control</b:Corporate>
      </b:Author>
    </b:Author>
    <b:Title>A comprehensive approach to HIV/STI prevention in the context of sexual health in the EU/EEA</b:Title>
    <b:Year>2013</b:Year>
    <b:Publisher>ECDC</b:Publisher>
    <b:City>Stockholm</b:City>
    <b:RefOrder>7</b:RefOrder>
  </b:Source>
  <b:Source>
    <b:Tag>Hug15</b:Tag>
    <b:SourceType>JournalArticle</b:SourceType>
    <b:Guid>{B9BB07AF-E21D-4DC1-A60B-2FEB3E7D9BBD}</b:Guid>
    <b:Title>The epidemiology of sexually transmitted infections in the UK: impact of behavior, services and interventions</b:Title>
    <b:Year>2015</b:Year>
    <b:Author>
      <b:Author>
        <b:NameList>
          <b:Person>
            <b:Last>Hughes</b:Last>
            <b:First>G</b:First>
          </b:Person>
          <b:Person>
            <b:Last>Field</b:Last>
            <b:First>N</b:First>
          </b:Person>
        </b:NameList>
      </b:Author>
    </b:Author>
    <b:JournalName>Future Microbiol</b:JournalName>
    <b:Pages>35–51</b:Pages>
    <b:Volume>10</b:Volume>
    <b:Issue>1</b:Issue>
    <b:RefOrder>8</b:RefOrder>
  </b:Source>
  <b:Source>
    <b:Tag>Tri07</b:Tag>
    <b:SourceType>Report</b:SourceType>
    <b:Guid>{4BBBAC21-DC82-48CC-92ED-126593019EFA}</b:Guid>
    <b:Title>Update on Review of Reviews on teenage pregnancy and parenthood</b:Title>
    <b:Year>2007</b:Year>
    <b:Author>
      <b:Author>
        <b:NameList>
          <b:Person>
            <b:Last>Trivedi</b:Last>
            <b:First>D</b:First>
          </b:Person>
          <b:Person>
            <b:Last>Bunn</b:Last>
            <b:First>F</b:First>
          </b:Person>
          <b:Person>
            <b:Last>Graham</b:Last>
            <b:First>M</b:First>
          </b:Person>
          <b:Person>
            <b:Last>Wentz</b:Last>
            <b:First>R</b:First>
          </b:Person>
        </b:NameList>
      </b:Author>
    </b:Author>
    <b:Publisher>Centre for Research in Primary and Community Care</b:Publisher>
    <b:RefOrder>9</b:RefOrder>
  </b:Source>
  <b:Source>
    <b:Tag>Laz10</b:Tag>
    <b:SourceType>JournalArticle</b:SourceType>
    <b:Guid>{A76ACCD1-3F77-4157-9005-A8D78B047861}</b:Guid>
    <b:Title>Systematic review of interventions to prevent the spread of sexually transmitted infections, including HIV, among young people in Europe</b:Title>
    <b:Year>2010</b:Year>
    <b:Author>
      <b:Author>
        <b:NameList>
          <b:Person>
            <b:Last>Lazarus</b:Last>
            <b:First>J</b:First>
          </b:Person>
          <b:Person>
            <b:Last>Sihvonen-Riemenschneider</b:Last>
            <b:First>H</b:First>
          </b:Person>
          <b:Person>
            <b:Last>Laukamm-Josten</b:Last>
            <b:First>U</b:First>
          </b:Person>
          <b:Person>
            <b:Last>Wong</b:Last>
            <b:First>F</b:First>
          </b:Person>
          <b:Person>
            <b:Last>Liljestrand</b:Last>
            <b:First>J</b:First>
          </b:Person>
        </b:NameList>
      </b:Author>
    </b:Author>
    <b:JournalName>Croatian Medical Journal</b:JournalName>
    <b:Pages>74-84.</b:Pages>
    <b:Volume>51</b:Volume>
    <b:Issue>1</b:Issue>
    <b:RefOrder>10</b:RefOrder>
  </b:Source>
  <b:Source>
    <b:Tag>Hau94</b:Tag>
    <b:SourceType>JournalArticle</b:SourceType>
    <b:Guid>{07834C5F-E183-49F5-AAA3-63F95F6953F6}</b:Guid>
    <b:Author>
      <b:Author>
        <b:NameList>
          <b:Person>
            <b:Last>Hausser</b:Last>
            <b:First>D</b:First>
          </b:Person>
          <b:Person>
            <b:Last>Michaud</b:Last>
            <b:First>P</b:First>
          </b:Person>
        </b:NameList>
      </b:Author>
    </b:Author>
    <b:Title>Does a condom-promoting strategy (the Swiss STOP-AIDS campaign) modify sexual behaviour among adolescents?</b:Title>
    <b:JournalName>Pediatrics</b:JournalName>
    <b:Year>1994</b:Year>
    <b:Pages>580-5</b:Pages>
    <b:Volume>98</b:Volume>
    <b:Issue>4</b:Issue>
    <b:RefOrder>11</b:RefOrder>
  </b:Source>
  <b:Source>
    <b:Tag>UNA</b:Tag>
    <b:SourceType>Report</b:SourceType>
    <b:Guid>{321CC0F2-3E8B-461E-A285-751D8150297C}</b:Guid>
    <b:Author>
      <b:Author>
        <b:Corporate>UNAIDS</b:Corporate>
      </b:Author>
    </b:Author>
    <b:Title>UNFPA, WHO and UNAIDS: Position statement on condoms and the prevention of HIV, other sexually transmitted infections and unintended pregnancy</b:Title>
    <b:Year>2015</b:Year>
    <b:Publisher>UNAIDS</b:Publisher>
    <b:City>Geneva</b:City>
    <b:RefOrder>1</b:RefOrder>
  </b:Source>
  <b:Source>
    <b:Tag>Hol04</b:Tag>
    <b:SourceType>JournalArticle</b:SourceType>
    <b:Guid>{A02FFD3E-00FC-46E3-97A1-6BFE3AC48593}</b:Guid>
    <b:Title>Effectiveness of condoms in preventing sexually transmitted infections</b:Title>
    <b:Year>2004</b:Year>
    <b:Author>
      <b:Author>
        <b:NameList>
          <b:Person>
            <b:Last>Holmes</b:Last>
            <b:First>K</b:First>
          </b:Person>
          <b:Person>
            <b:Last>Levine</b:Last>
            <b:First>R</b:First>
          </b:Person>
          <b:Person>
            <b:Last>Weaver</b:Last>
            <b:First>M</b:First>
          </b:Person>
        </b:NameList>
      </b:Author>
    </b:Author>
    <b:JournalName>Bulletin of the World Health Organisation</b:JournalName>
    <b:Pages>454-461</b:Pages>
    <b:Volume>82</b:Volume>
    <b:RefOrder>2</b:RefOrder>
  </b:Source>
  <b:Source>
    <b:Tag>NIC17</b:Tag>
    <b:SourceType>Report</b:SourceType>
    <b:Guid>{BB6085AE-BB99-44AF-A55F-8BDF307CB641}</b:Guid>
    <b:Title>Sexually transmitted infections: condom distribution schemes</b:Title>
    <b:Year>2017</b:Year>
    <b:Author>
      <b:Author>
        <b:Corporate>NICE &amp; PHE</b:Corporate>
      </b:Author>
    </b:Author>
    <b:Publisher>NICE</b:Publisher>
    <b:RefOrder>3</b:RefOrder>
  </b:Source>
  <b:Source>
    <b:Tag>Joi04</b:Tag>
    <b:SourceType>Report</b:SourceType>
    <b:Guid>{EBE2B789-72E1-473F-8876-97DA281814BE}</b:Guid>
    <b:Author>
      <b:Author>
        <b:Corporate>Joint United Nations Programme on HIV/AIDS</b:Corporate>
      </b:Author>
    </b:Author>
    <b:Title>Making condoms work for HIV prevention</b:Title>
    <b:Year>2004</b:Year>
    <b:Publisher>UNAIDS</b:Publisher>
    <b:City>Geneva</b:City>
    <b:RefOrder>4</b:RefOrder>
  </b:Source>
</b:Sources>
</file>

<file path=customXml/itemProps1.xml><?xml version="1.0" encoding="utf-8"?>
<ds:datastoreItem xmlns:ds="http://schemas.openxmlformats.org/officeDocument/2006/customXml" ds:itemID="{F77BF851-4860-45B3-8FFC-DE6BA7B3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MCCONALOGUE, Dave</dc:creator>
  <cp:lastModifiedBy>BROWN, Emily</cp:lastModifiedBy>
  <cp:revision>2</cp:revision>
  <cp:lastPrinted>2023-01-11T12:14:00Z</cp:lastPrinted>
  <dcterms:created xsi:type="dcterms:W3CDTF">2023-09-11T14:55:00Z</dcterms:created>
  <dcterms:modified xsi:type="dcterms:W3CDTF">2023-09-11T14:55:00Z</dcterms:modified>
</cp:coreProperties>
</file>