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F0C6D" w14:textId="618A88A8" w:rsidR="00F21EE9" w:rsidRPr="00765ADE" w:rsidRDefault="00F21EE9" w:rsidP="003B042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5ADE">
        <w:rPr>
          <w:rFonts w:ascii="Arial" w:hAnsi="Arial" w:cs="Arial"/>
          <w:b/>
          <w:bCs/>
          <w:sz w:val="24"/>
          <w:szCs w:val="24"/>
        </w:rPr>
        <w:t>Gloucestershire Health Equity Assessment Tool (HEAT)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3823"/>
        <w:gridCol w:w="10914"/>
      </w:tblGrid>
      <w:tr w:rsidR="00AC2D48" w:rsidRPr="00765ADE" w14:paraId="0672EA06" w14:textId="77777777" w:rsidTr="000B37BF">
        <w:tc>
          <w:tcPr>
            <w:tcW w:w="3823" w:type="dxa"/>
          </w:tcPr>
          <w:p w14:paraId="438AF168" w14:textId="76277D08" w:rsidR="00AC2D48" w:rsidRPr="00765ADE" w:rsidRDefault="00AC2D48" w:rsidP="003B04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5ADE">
              <w:rPr>
                <w:rFonts w:ascii="Arial" w:hAnsi="Arial" w:cs="Arial"/>
                <w:b/>
                <w:bCs/>
                <w:sz w:val="24"/>
                <w:szCs w:val="24"/>
              </w:rPr>
              <w:t>Programme or project being assessed:</w:t>
            </w:r>
          </w:p>
          <w:p w14:paraId="75962E60" w14:textId="77777777" w:rsidR="00AC2D48" w:rsidRPr="00765ADE" w:rsidRDefault="00AC2D48" w:rsidP="003B04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14" w:type="dxa"/>
          </w:tcPr>
          <w:p w14:paraId="1D7E042D" w14:textId="77777777" w:rsidR="00AC2D48" w:rsidRPr="00765ADE" w:rsidRDefault="00AC2D48" w:rsidP="003B04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2D48" w:rsidRPr="00765ADE" w14:paraId="43931C14" w14:textId="77777777" w:rsidTr="000B37BF">
        <w:tc>
          <w:tcPr>
            <w:tcW w:w="3823" w:type="dxa"/>
          </w:tcPr>
          <w:p w14:paraId="16FA3CD1" w14:textId="63F4986F" w:rsidR="00AC2D48" w:rsidRPr="00765ADE" w:rsidRDefault="00AC2D48" w:rsidP="003B04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5ADE">
              <w:rPr>
                <w:rFonts w:ascii="Arial" w:hAnsi="Arial" w:cs="Arial"/>
                <w:b/>
                <w:bCs/>
                <w:sz w:val="24"/>
                <w:szCs w:val="24"/>
              </w:rPr>
              <w:t>Date completed:</w:t>
            </w:r>
          </w:p>
          <w:p w14:paraId="01889A16" w14:textId="77777777" w:rsidR="00AC2D48" w:rsidRPr="00765ADE" w:rsidRDefault="00AC2D48" w:rsidP="003B04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14" w:type="dxa"/>
          </w:tcPr>
          <w:p w14:paraId="708BF06B" w14:textId="77777777" w:rsidR="00AC2D48" w:rsidRPr="00765ADE" w:rsidRDefault="00AC2D48" w:rsidP="003B04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2D48" w:rsidRPr="00765ADE" w14:paraId="754BA5A9" w14:textId="77777777" w:rsidTr="000B37BF">
        <w:tc>
          <w:tcPr>
            <w:tcW w:w="3823" w:type="dxa"/>
          </w:tcPr>
          <w:p w14:paraId="1226D0DE" w14:textId="3988D655" w:rsidR="00AC2D48" w:rsidRPr="00765ADE" w:rsidRDefault="00AC2D48" w:rsidP="003B04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5ADE">
              <w:rPr>
                <w:rFonts w:ascii="Arial" w:hAnsi="Arial" w:cs="Arial"/>
                <w:b/>
                <w:bCs/>
                <w:sz w:val="24"/>
                <w:szCs w:val="24"/>
              </w:rPr>
              <w:t>Contact person:</w:t>
            </w:r>
          </w:p>
          <w:p w14:paraId="7DA8FD29" w14:textId="77777777" w:rsidR="00AC2D48" w:rsidRPr="00765ADE" w:rsidRDefault="00AC2D48" w:rsidP="003B04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14" w:type="dxa"/>
          </w:tcPr>
          <w:p w14:paraId="5704FC30" w14:textId="77777777" w:rsidR="00AC2D48" w:rsidRPr="00765ADE" w:rsidRDefault="00AC2D48" w:rsidP="003B04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53F184" w14:textId="77777777" w:rsidR="004369DF" w:rsidRDefault="004369DF" w:rsidP="003B0420">
      <w:pPr>
        <w:rPr>
          <w:rFonts w:ascii="Arial" w:hAnsi="Arial" w:cs="Arial"/>
          <w:sz w:val="24"/>
          <w:szCs w:val="24"/>
        </w:rPr>
      </w:pPr>
    </w:p>
    <w:p w14:paraId="53BF43B5" w14:textId="5576F26B" w:rsidR="004369DF" w:rsidRPr="004369DF" w:rsidRDefault="004369DF" w:rsidP="003B0420">
      <w:pPr>
        <w:rPr>
          <w:rFonts w:ascii="Arial" w:hAnsi="Arial" w:cs="Arial"/>
          <w:sz w:val="24"/>
          <w:szCs w:val="24"/>
        </w:rPr>
      </w:pPr>
      <w:r w:rsidRPr="004369DF">
        <w:rPr>
          <w:rFonts w:ascii="Arial" w:hAnsi="Arial" w:cs="Arial"/>
          <w:sz w:val="24"/>
          <w:szCs w:val="24"/>
        </w:rPr>
        <w:t xml:space="preserve">You may find the </w:t>
      </w:r>
      <w:hyperlink r:id="rId8" w:anchor="main" w:history="1">
        <w:r w:rsidRPr="004369DF">
          <w:rPr>
            <w:rStyle w:val="Hyperlink"/>
            <w:rFonts w:ascii="Arial" w:hAnsi="Arial" w:cs="Arial"/>
            <w:color w:val="auto"/>
            <w:sz w:val="24"/>
            <w:szCs w:val="24"/>
          </w:rPr>
          <w:t>Suggested Data S</w:t>
        </w:r>
        <w:r w:rsidRPr="004369DF">
          <w:rPr>
            <w:rStyle w:val="Hyperlink"/>
            <w:rFonts w:ascii="Arial" w:hAnsi="Arial" w:cs="Arial"/>
            <w:color w:val="auto"/>
            <w:sz w:val="24"/>
            <w:szCs w:val="24"/>
          </w:rPr>
          <w:t>o</w:t>
        </w:r>
        <w:r w:rsidRPr="004369DF">
          <w:rPr>
            <w:rStyle w:val="Hyperlink"/>
            <w:rFonts w:ascii="Arial" w:hAnsi="Arial" w:cs="Arial"/>
            <w:color w:val="auto"/>
            <w:sz w:val="24"/>
            <w:szCs w:val="24"/>
          </w:rPr>
          <w:t>urces for HEAT</w:t>
        </w:r>
      </w:hyperlink>
      <w:r w:rsidRPr="004369DF">
        <w:rPr>
          <w:rFonts w:ascii="Arial" w:hAnsi="Arial" w:cs="Arial"/>
          <w:sz w:val="24"/>
          <w:szCs w:val="24"/>
        </w:rPr>
        <w:t xml:space="preserve"> page helpful.</w:t>
      </w:r>
    </w:p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2214"/>
        <w:gridCol w:w="6712"/>
        <w:gridCol w:w="5499"/>
      </w:tblGrid>
      <w:tr w:rsidR="00193466" w:rsidRPr="00765ADE" w14:paraId="477DFFA5" w14:textId="77777777" w:rsidTr="00066E34">
        <w:trPr>
          <w:trHeight w:val="139"/>
        </w:trPr>
        <w:tc>
          <w:tcPr>
            <w:tcW w:w="2214" w:type="dxa"/>
            <w:shd w:val="clear" w:color="auto" w:fill="B4C6E7" w:themeFill="accent1" w:themeFillTint="66"/>
          </w:tcPr>
          <w:p w14:paraId="29A05B04" w14:textId="77777777" w:rsidR="0017389F" w:rsidRPr="00765ADE" w:rsidRDefault="0017389F" w:rsidP="003B04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223CB72" w14:textId="77777777" w:rsidR="00193466" w:rsidRPr="00765ADE" w:rsidRDefault="00193466" w:rsidP="003B04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5ADE">
              <w:rPr>
                <w:rFonts w:ascii="Arial" w:hAnsi="Arial" w:cs="Arial"/>
                <w:b/>
                <w:bCs/>
                <w:sz w:val="24"/>
                <w:szCs w:val="24"/>
              </w:rPr>
              <w:t>Question</w:t>
            </w:r>
          </w:p>
          <w:p w14:paraId="1C3679AE" w14:textId="07D06E4A" w:rsidR="0017389F" w:rsidRPr="00765ADE" w:rsidRDefault="0017389F" w:rsidP="003B04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12" w:type="dxa"/>
            <w:shd w:val="clear" w:color="auto" w:fill="B4C6E7" w:themeFill="accent1" w:themeFillTint="66"/>
          </w:tcPr>
          <w:p w14:paraId="5A43B8ED" w14:textId="77777777" w:rsidR="0017389F" w:rsidRPr="00765ADE" w:rsidRDefault="0017389F" w:rsidP="003B04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E6CD6C" w14:textId="0DFFBCFB" w:rsidR="00193466" w:rsidRPr="00765ADE" w:rsidRDefault="00193466" w:rsidP="003B04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5ADE">
              <w:rPr>
                <w:rFonts w:ascii="Arial" w:hAnsi="Arial" w:cs="Arial"/>
                <w:b/>
                <w:bCs/>
                <w:sz w:val="24"/>
                <w:szCs w:val="24"/>
              </w:rPr>
              <w:t>Issues to consider</w:t>
            </w:r>
          </w:p>
        </w:tc>
        <w:tc>
          <w:tcPr>
            <w:tcW w:w="5499" w:type="dxa"/>
            <w:shd w:val="clear" w:color="auto" w:fill="B4C6E7" w:themeFill="accent1" w:themeFillTint="66"/>
          </w:tcPr>
          <w:p w14:paraId="5065E06B" w14:textId="77777777" w:rsidR="0017389F" w:rsidRPr="00765ADE" w:rsidRDefault="0017389F" w:rsidP="003B04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163AA02" w14:textId="731A3B67" w:rsidR="00193466" w:rsidRPr="00765ADE" w:rsidRDefault="00193466" w:rsidP="003B04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5ADE">
              <w:rPr>
                <w:rFonts w:ascii="Arial" w:hAnsi="Arial" w:cs="Arial"/>
                <w:b/>
                <w:bCs/>
                <w:sz w:val="24"/>
                <w:szCs w:val="24"/>
              </w:rPr>
              <w:t>Response</w:t>
            </w:r>
          </w:p>
        </w:tc>
      </w:tr>
      <w:tr w:rsidR="0017389F" w:rsidRPr="00765ADE" w14:paraId="3F2424C4" w14:textId="77777777" w:rsidTr="00066E34">
        <w:trPr>
          <w:trHeight w:val="139"/>
        </w:trPr>
        <w:tc>
          <w:tcPr>
            <w:tcW w:w="2214" w:type="dxa"/>
            <w:shd w:val="clear" w:color="auto" w:fill="B4C6E7" w:themeFill="accent1" w:themeFillTint="66"/>
          </w:tcPr>
          <w:p w14:paraId="52998D0F" w14:textId="77777777" w:rsidR="0017389F" w:rsidRPr="00765ADE" w:rsidRDefault="0017389F" w:rsidP="003B04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6632489" w14:textId="77777777" w:rsidR="0017389F" w:rsidRPr="00765ADE" w:rsidRDefault="0017389F" w:rsidP="003B04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E01ADD" w14:textId="77777777" w:rsidR="0017389F" w:rsidRPr="00765ADE" w:rsidRDefault="0017389F" w:rsidP="003B04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0400763" w14:textId="77777777" w:rsidR="0017389F" w:rsidRPr="00765ADE" w:rsidRDefault="0017389F" w:rsidP="003B04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0D3D5F" w14:textId="25F69DBC" w:rsidR="0017389F" w:rsidRPr="00765ADE" w:rsidRDefault="0017389F" w:rsidP="003B04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3EEE">
              <w:rPr>
                <w:rFonts w:ascii="Arial" w:hAnsi="Arial" w:cs="Arial"/>
                <w:sz w:val="24"/>
                <w:szCs w:val="24"/>
                <w:u w:val="single"/>
              </w:rPr>
              <w:t>S</w:t>
            </w:r>
            <w:r w:rsidR="00593EEE" w:rsidRPr="00593EEE">
              <w:rPr>
                <w:rFonts w:ascii="Arial" w:hAnsi="Arial" w:cs="Arial"/>
                <w:sz w:val="24"/>
                <w:szCs w:val="24"/>
                <w:u w:val="single"/>
              </w:rPr>
              <w:t>TAGE</w:t>
            </w:r>
            <w:r w:rsidRPr="00593EEE">
              <w:rPr>
                <w:rFonts w:ascii="Arial" w:hAnsi="Arial" w:cs="Arial"/>
                <w:sz w:val="24"/>
                <w:szCs w:val="24"/>
                <w:u w:val="single"/>
              </w:rPr>
              <w:t xml:space="preserve"> 1</w:t>
            </w:r>
            <w:r w:rsidRPr="00593EEE">
              <w:rPr>
                <w:rFonts w:ascii="Arial" w:hAnsi="Arial" w:cs="Arial"/>
                <w:sz w:val="24"/>
                <w:szCs w:val="24"/>
              </w:rPr>
              <w:t>:</w:t>
            </w:r>
            <w:r w:rsidRPr="00765A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What health inequalities (HI) exist in relation to your work?</w:t>
            </w:r>
          </w:p>
          <w:p w14:paraId="46ECAB03" w14:textId="77777777" w:rsidR="0017389F" w:rsidRPr="00765ADE" w:rsidRDefault="0017389F" w:rsidP="003B04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12" w:type="dxa"/>
          </w:tcPr>
          <w:p w14:paraId="3F285F79" w14:textId="1BC80758" w:rsidR="00063D52" w:rsidRPr="00765ADE" w:rsidRDefault="00063D52" w:rsidP="003B0420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65ADE">
              <w:rPr>
                <w:rFonts w:ascii="Arial" w:hAnsi="Arial" w:cs="Arial"/>
                <w:sz w:val="24"/>
                <w:szCs w:val="24"/>
              </w:rPr>
              <w:t>Explore existing data sources on the distribution of health across different population groups</w:t>
            </w:r>
            <w:r w:rsidR="0096491D" w:rsidRPr="00765AD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F509BDB" w14:textId="182F2B8B" w:rsidR="00063D52" w:rsidRPr="00765ADE" w:rsidRDefault="00063D52" w:rsidP="003B0420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65ADE">
              <w:rPr>
                <w:rFonts w:ascii="Arial" w:hAnsi="Arial" w:cs="Arial"/>
                <w:sz w:val="24"/>
                <w:szCs w:val="24"/>
              </w:rPr>
              <w:t xml:space="preserve">Consider protected characteristics and </w:t>
            </w:r>
            <w:r w:rsidR="004369DF">
              <w:rPr>
                <w:rFonts w:ascii="Arial" w:hAnsi="Arial" w:cs="Arial"/>
                <w:sz w:val="24"/>
                <w:szCs w:val="24"/>
              </w:rPr>
              <w:t xml:space="preserve">the </w:t>
            </w:r>
            <w:hyperlink r:id="rId9" w:anchor="main" w:history="1">
              <w:r w:rsidR="004369DF" w:rsidRPr="004369DF">
                <w:rPr>
                  <w:rStyle w:val="Hyperlink"/>
                  <w:rFonts w:ascii="Arial" w:hAnsi="Arial" w:cs="Arial"/>
                  <w:sz w:val="24"/>
                  <w:szCs w:val="24"/>
                </w:rPr>
                <w:t>overlapping dimensio</w:t>
              </w:r>
              <w:r w:rsidR="004369DF" w:rsidRPr="004369DF">
                <w:rPr>
                  <w:rStyle w:val="Hyperlink"/>
                  <w:rFonts w:ascii="Arial" w:hAnsi="Arial" w:cs="Arial"/>
                  <w:sz w:val="24"/>
                  <w:szCs w:val="24"/>
                </w:rPr>
                <w:t>n</w:t>
              </w:r>
              <w:r w:rsidR="004369DF" w:rsidRPr="004369DF">
                <w:rPr>
                  <w:rStyle w:val="Hyperlink"/>
                  <w:rFonts w:ascii="Arial" w:hAnsi="Arial" w:cs="Arial"/>
                  <w:sz w:val="24"/>
                  <w:szCs w:val="24"/>
                </w:rPr>
                <w:t>s of health inequaliti</w:t>
              </w:r>
              <w:r w:rsidR="004369DF" w:rsidRPr="004369DF">
                <w:rPr>
                  <w:rStyle w:val="Hyperlink"/>
                  <w:rFonts w:ascii="Arial" w:hAnsi="Arial" w:cs="Arial"/>
                  <w:sz w:val="24"/>
                  <w:szCs w:val="24"/>
                </w:rPr>
                <w:t>e</w:t>
              </w:r>
              <w:r w:rsidR="004369DF" w:rsidRPr="004369DF">
                <w:rPr>
                  <w:rStyle w:val="Hyperlink"/>
                  <w:rFonts w:ascii="Arial" w:hAnsi="Arial" w:cs="Arial"/>
                  <w:sz w:val="24"/>
                  <w:szCs w:val="24"/>
                </w:rPr>
                <w:t>s</w:t>
              </w:r>
            </w:hyperlink>
            <w:r w:rsidRPr="00765A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0714" w:rsidRPr="00765ADE">
              <w:rPr>
                <w:rFonts w:ascii="Arial" w:hAnsi="Arial" w:cs="Arial"/>
                <w:sz w:val="24"/>
                <w:szCs w:val="24"/>
              </w:rPr>
              <w:t>e.g.,</w:t>
            </w:r>
            <w:r w:rsidRPr="00765A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76B0">
              <w:rPr>
                <w:rFonts w:ascii="Arial" w:hAnsi="Arial" w:cs="Arial"/>
                <w:sz w:val="24"/>
                <w:szCs w:val="24"/>
              </w:rPr>
              <w:t xml:space="preserve">ethnicity </w:t>
            </w:r>
            <w:r w:rsidRPr="00765ADE">
              <w:rPr>
                <w:rFonts w:ascii="Arial" w:hAnsi="Arial" w:cs="Arial"/>
                <w:sz w:val="24"/>
                <w:szCs w:val="24"/>
              </w:rPr>
              <w:t>or geographic deprivation</w:t>
            </w:r>
            <w:r w:rsidR="0096491D" w:rsidRPr="00765AD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FCDFBC3" w14:textId="12420D39" w:rsidR="0093578D" w:rsidRPr="00765ADE" w:rsidRDefault="001D1B5E" w:rsidP="003B0420">
            <w:pPr>
              <w:rPr>
                <w:rFonts w:ascii="Arial" w:hAnsi="Arial" w:cs="Arial"/>
                <w:i/>
                <w:iCs/>
                <w:color w:val="FFC000"/>
                <w:sz w:val="24"/>
                <w:szCs w:val="24"/>
              </w:rPr>
            </w:pPr>
            <w:r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Think about </w:t>
            </w:r>
            <w:r w:rsidR="0096491D"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what </w:t>
            </w:r>
            <w:r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data </w:t>
            </w:r>
            <w:r w:rsidR="0096491D"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sources are available to you to </w:t>
            </w:r>
            <w:r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explor</w:t>
            </w:r>
            <w:r w:rsidR="0096491D"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e</w:t>
            </w:r>
            <w:r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 this stage</w:t>
            </w:r>
            <w:r w:rsidR="0096491D"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 and how you might need to break </w:t>
            </w:r>
            <w:r w:rsidR="0093578D"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the information down</w:t>
            </w:r>
            <w:r w:rsidR="00A6494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.</w:t>
            </w:r>
          </w:p>
          <w:p w14:paraId="1E30E351" w14:textId="47665363" w:rsidR="0017389F" w:rsidRPr="003B0420" w:rsidRDefault="004369DF" w:rsidP="003B0420">
            <w:pP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C</w:t>
            </w:r>
            <w:r w:rsidR="00E33A0F"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an you get data which helps build a picture of </w:t>
            </w:r>
            <w:r w:rsidR="003B042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health inequalities in </w:t>
            </w:r>
            <w:r w:rsidR="00162F3C"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relation to your service/area</w:t>
            </w:r>
            <w:r w:rsidR="00E33A0F"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?</w:t>
            </w:r>
            <w:r w:rsidR="0093578D"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 </w:t>
            </w:r>
            <w:r w:rsidR="001B0611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It is unlikely your service/area will collect </w:t>
            </w:r>
            <w:proofErr w:type="gramStart"/>
            <w:r w:rsidR="001B0611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all of</w:t>
            </w:r>
            <w:proofErr w:type="gramEnd"/>
            <w:r w:rsidR="001B0611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 this data, but </w:t>
            </w:r>
            <w:r w:rsidR="001B0611" w:rsidRPr="003B042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some data can help to build a picture. You can use this to</w:t>
            </w:r>
            <w:r w:rsidR="003B0420" w:rsidRPr="003B042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 see how this compares to the </w:t>
            </w:r>
            <w:r w:rsidR="003B042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population data</w:t>
            </w:r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, </w:t>
            </w:r>
            <w:r w:rsidR="003B042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for example</w:t>
            </w:r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, </w:t>
            </w:r>
            <w:r w:rsidR="003B0420" w:rsidRPr="003B042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how </w:t>
            </w:r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does </w:t>
            </w:r>
            <w:r w:rsidR="003B0420" w:rsidRPr="003B042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the ethnic</w:t>
            </w:r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ity</w:t>
            </w:r>
            <w:r w:rsidR="003B0420" w:rsidRPr="003B042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 breakdown of service users compare to </w:t>
            </w:r>
            <w:r w:rsidR="003B042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what we </w:t>
            </w:r>
            <w:r w:rsidR="003B0420" w:rsidRPr="003B042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lastRenderedPageBreak/>
              <w:t xml:space="preserve">see in population data? This can be found on </w:t>
            </w:r>
            <w:r w:rsidR="001B0611" w:rsidRPr="003B042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Fingertips or </w:t>
            </w:r>
            <w:r w:rsidR="003B0420" w:rsidRPr="003B042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Inform Gloucestershire</w:t>
            </w:r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.</w:t>
            </w:r>
          </w:p>
          <w:p w14:paraId="00697AFE" w14:textId="548D5099" w:rsidR="00A64940" w:rsidRPr="00A64940" w:rsidRDefault="00A64940" w:rsidP="003B0420">
            <w:pPr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5499" w:type="dxa"/>
          </w:tcPr>
          <w:p w14:paraId="69A02123" w14:textId="77777777" w:rsidR="0017389F" w:rsidRPr="00765ADE" w:rsidRDefault="0017389F" w:rsidP="003B04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389F" w:rsidRPr="00765ADE" w14:paraId="2A267F88" w14:textId="77777777" w:rsidTr="00107883">
        <w:trPr>
          <w:trHeight w:val="139"/>
        </w:trPr>
        <w:tc>
          <w:tcPr>
            <w:tcW w:w="14425" w:type="dxa"/>
            <w:gridSpan w:val="3"/>
            <w:shd w:val="clear" w:color="auto" w:fill="D9D9D9" w:themeFill="background1" w:themeFillShade="D9"/>
          </w:tcPr>
          <w:p w14:paraId="19CB5FCA" w14:textId="77777777" w:rsidR="0017389F" w:rsidRPr="00765ADE" w:rsidRDefault="0017389F" w:rsidP="003B04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389F" w:rsidRPr="00765ADE" w14:paraId="02ED1B36" w14:textId="77777777" w:rsidTr="00066E34">
        <w:trPr>
          <w:trHeight w:val="1765"/>
        </w:trPr>
        <w:tc>
          <w:tcPr>
            <w:tcW w:w="2214" w:type="dxa"/>
            <w:vMerge w:val="restart"/>
            <w:shd w:val="clear" w:color="auto" w:fill="B4C6E7" w:themeFill="accent1" w:themeFillTint="66"/>
          </w:tcPr>
          <w:p w14:paraId="40CE98A9" w14:textId="7505D1CD" w:rsidR="0017389F" w:rsidRPr="00593EEE" w:rsidRDefault="0017389F" w:rsidP="003B0420">
            <w:pPr>
              <w:rPr>
                <w:rFonts w:ascii="Arial" w:hAnsi="Arial" w:cs="Arial"/>
                <w:sz w:val="24"/>
                <w:szCs w:val="24"/>
              </w:rPr>
            </w:pPr>
            <w:r w:rsidRPr="00593EEE">
              <w:rPr>
                <w:rFonts w:ascii="Arial" w:hAnsi="Arial" w:cs="Arial"/>
                <w:sz w:val="24"/>
                <w:szCs w:val="24"/>
                <w:u w:val="single"/>
              </w:rPr>
              <w:t>S</w:t>
            </w:r>
            <w:r w:rsidR="00593EEE" w:rsidRPr="00593EEE">
              <w:rPr>
                <w:rFonts w:ascii="Arial" w:hAnsi="Arial" w:cs="Arial"/>
                <w:sz w:val="24"/>
                <w:szCs w:val="24"/>
                <w:u w:val="single"/>
              </w:rPr>
              <w:t>TAGE</w:t>
            </w:r>
            <w:r w:rsidRPr="00593EEE">
              <w:rPr>
                <w:rFonts w:ascii="Arial" w:hAnsi="Arial" w:cs="Arial"/>
                <w:sz w:val="24"/>
                <w:szCs w:val="24"/>
                <w:u w:val="single"/>
              </w:rPr>
              <w:t xml:space="preserve"> 2</w:t>
            </w:r>
            <w:r w:rsidRPr="00593EEE">
              <w:rPr>
                <w:rFonts w:ascii="Arial" w:hAnsi="Arial" w:cs="Arial"/>
                <w:sz w:val="24"/>
                <w:szCs w:val="24"/>
              </w:rPr>
              <w:t>:</w:t>
            </w:r>
            <w:r w:rsidRPr="00765A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How might your work affect HI (positively or negatively)?</w:t>
            </w:r>
          </w:p>
          <w:p w14:paraId="67D4C652" w14:textId="77777777" w:rsidR="0017389F" w:rsidRPr="00765ADE" w:rsidRDefault="0017389F" w:rsidP="003B04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2" w:type="dxa"/>
          </w:tcPr>
          <w:p w14:paraId="2C299E74" w14:textId="77777777" w:rsidR="0017389F" w:rsidRPr="00765ADE" w:rsidRDefault="00063D52" w:rsidP="003B0420">
            <w:pPr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65ADE">
              <w:rPr>
                <w:rFonts w:ascii="Arial" w:hAnsi="Arial" w:cs="Arial"/>
                <w:sz w:val="24"/>
                <w:szCs w:val="24"/>
              </w:rPr>
              <w:t>How might your work address the needs of different groups that share protected characteristics?</w:t>
            </w:r>
          </w:p>
          <w:p w14:paraId="68C91C01" w14:textId="14EFD16C" w:rsidR="002F157F" w:rsidRPr="00765ADE" w:rsidRDefault="002F157F" w:rsidP="003B0420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This may be positive or negative.</w:t>
            </w:r>
            <w:r w:rsidR="00162F3C"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 Consider all groups.</w:t>
            </w:r>
          </w:p>
        </w:tc>
        <w:tc>
          <w:tcPr>
            <w:tcW w:w="5499" w:type="dxa"/>
          </w:tcPr>
          <w:p w14:paraId="06443D37" w14:textId="77777777" w:rsidR="0017389F" w:rsidRPr="00765ADE" w:rsidRDefault="0017389F" w:rsidP="003B04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389F" w:rsidRPr="00765ADE" w14:paraId="3066DD35" w14:textId="77777777" w:rsidTr="00066E34">
        <w:trPr>
          <w:trHeight w:val="981"/>
        </w:trPr>
        <w:tc>
          <w:tcPr>
            <w:tcW w:w="2214" w:type="dxa"/>
            <w:vMerge/>
            <w:shd w:val="clear" w:color="auto" w:fill="B4C6E7" w:themeFill="accent1" w:themeFillTint="66"/>
          </w:tcPr>
          <w:p w14:paraId="5D398AE2" w14:textId="77777777" w:rsidR="0017389F" w:rsidRPr="00765ADE" w:rsidRDefault="0017389F" w:rsidP="003B04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2" w:type="dxa"/>
          </w:tcPr>
          <w:p w14:paraId="45CB4B52" w14:textId="77777777" w:rsidR="00063D52" w:rsidRPr="00765ADE" w:rsidRDefault="00063D52" w:rsidP="003B0420">
            <w:pPr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65ADE">
              <w:rPr>
                <w:rFonts w:ascii="Arial" w:hAnsi="Arial" w:cs="Arial"/>
                <w:sz w:val="24"/>
                <w:szCs w:val="24"/>
              </w:rPr>
              <w:t>Consider the causes of these inequalities. What are the wider determinants?</w:t>
            </w:r>
          </w:p>
          <w:p w14:paraId="583E6E80" w14:textId="20C83612" w:rsidR="00B00714" w:rsidRPr="00722192" w:rsidRDefault="002F157F" w:rsidP="003B0420">
            <w:pP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</w:pPr>
            <w:r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Think about the wider determinants of health and how they affect inequalities in your area. Remember to consider social, </w:t>
            </w:r>
            <w:r w:rsidR="007D6447"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economic,</w:t>
            </w:r>
            <w:r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 and environmental factors that influence people’s health. </w:t>
            </w:r>
          </w:p>
          <w:p w14:paraId="35784FAB" w14:textId="54E89566" w:rsidR="003112D8" w:rsidRDefault="003112D8" w:rsidP="003B0420">
            <w:pP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</w:pPr>
            <w:r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This </w:t>
            </w:r>
            <w:hyperlink r:id="rId10" w:history="1">
              <w:r w:rsidRPr="00B00714">
                <w:rPr>
                  <w:rStyle w:val="Hyperlink"/>
                  <w:rFonts w:ascii="Arial" w:hAnsi="Arial" w:cs="Arial"/>
                  <w:i/>
                  <w:iCs/>
                  <w:sz w:val="24"/>
                  <w:szCs w:val="24"/>
                </w:rPr>
                <w:t>vi</w:t>
              </w:r>
              <w:r w:rsidRPr="00B00714">
                <w:rPr>
                  <w:rStyle w:val="Hyperlink"/>
                  <w:rFonts w:ascii="Arial" w:hAnsi="Arial" w:cs="Arial"/>
                  <w:i/>
                  <w:iCs/>
                  <w:sz w:val="24"/>
                  <w:szCs w:val="24"/>
                </w:rPr>
                <w:t>d</w:t>
              </w:r>
              <w:r w:rsidRPr="00B00714">
                <w:rPr>
                  <w:rStyle w:val="Hyperlink"/>
                  <w:rFonts w:ascii="Arial" w:hAnsi="Arial" w:cs="Arial"/>
                  <w:i/>
                  <w:iCs/>
                  <w:sz w:val="24"/>
                  <w:szCs w:val="24"/>
                </w:rPr>
                <w:t>eo</w:t>
              </w:r>
            </w:hyperlink>
            <w:r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 explores some of the wider determinants</w:t>
            </w:r>
            <w:r w:rsidR="004369DF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 of health. </w:t>
            </w:r>
          </w:p>
          <w:p w14:paraId="0391D6A6" w14:textId="76730449" w:rsidR="00107883" w:rsidRPr="00765ADE" w:rsidRDefault="00107883" w:rsidP="003B042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499" w:type="dxa"/>
          </w:tcPr>
          <w:p w14:paraId="0CE460EB" w14:textId="77777777" w:rsidR="0017389F" w:rsidRPr="00765ADE" w:rsidRDefault="0017389F" w:rsidP="003B04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389F" w:rsidRPr="00765ADE" w14:paraId="77711600" w14:textId="77777777" w:rsidTr="00066E34">
        <w:trPr>
          <w:trHeight w:val="699"/>
        </w:trPr>
        <w:tc>
          <w:tcPr>
            <w:tcW w:w="2214" w:type="dxa"/>
            <w:vMerge/>
            <w:shd w:val="clear" w:color="auto" w:fill="B4C6E7" w:themeFill="accent1" w:themeFillTint="66"/>
          </w:tcPr>
          <w:p w14:paraId="7540F8D1" w14:textId="77777777" w:rsidR="0017389F" w:rsidRPr="00765ADE" w:rsidRDefault="0017389F" w:rsidP="003B04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2" w:type="dxa"/>
          </w:tcPr>
          <w:p w14:paraId="51237BDF" w14:textId="79B83CB3" w:rsidR="0017389F" w:rsidRPr="00765ADE" w:rsidRDefault="00063D52" w:rsidP="003B0420">
            <w:pPr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65ADE">
              <w:rPr>
                <w:rFonts w:ascii="Arial" w:hAnsi="Arial" w:cs="Arial"/>
                <w:sz w:val="24"/>
                <w:szCs w:val="24"/>
              </w:rPr>
              <w:t>Think about whether outcomes vary across groups, and who benefits most and least</w:t>
            </w:r>
            <w:r w:rsidR="004369D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AD3FA72" w14:textId="3D7B7F52" w:rsidR="003112D8" w:rsidRDefault="003112D8" w:rsidP="003B0420">
            <w:pPr>
              <w:spacing w:after="160" w:line="259" w:lineRule="auto"/>
              <w:rPr>
                <w:rFonts w:ascii="Arial" w:hAnsi="Arial" w:cs="Arial"/>
                <w:i/>
                <w:iCs/>
                <w:color w:val="FFC000"/>
                <w:sz w:val="24"/>
                <w:szCs w:val="24"/>
              </w:rPr>
            </w:pPr>
            <w:r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Think about how you can use data to explore the variety of outcomes across the </w:t>
            </w:r>
            <w:r w:rsidR="003B042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overlapping domains of health inequalities</w:t>
            </w:r>
            <w:r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.</w:t>
            </w:r>
            <w:r w:rsidR="007F6BD7"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 Why might there be differences? Are you surprised by what the data is telling you? Can data alone tell you the whole picture?</w:t>
            </w:r>
            <w:r w:rsidRPr="00765ADE">
              <w:rPr>
                <w:rFonts w:ascii="Arial" w:hAnsi="Arial" w:cs="Arial"/>
                <w:i/>
                <w:iCs/>
                <w:color w:val="FFC000"/>
                <w:sz w:val="24"/>
                <w:szCs w:val="24"/>
              </w:rPr>
              <w:t xml:space="preserve"> </w:t>
            </w:r>
          </w:p>
          <w:p w14:paraId="58965D77" w14:textId="0798CF50" w:rsidR="00055E74" w:rsidRPr="00055E74" w:rsidRDefault="003B0420" w:rsidP="003B0420">
            <w:pPr>
              <w:spacing w:after="160" w:line="259" w:lineRule="auto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Remember that</w:t>
            </w:r>
            <w:r w:rsidR="00055E74" w:rsidRPr="003B042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 certain information may not have been collected in your service area. </w:t>
            </w:r>
          </w:p>
        </w:tc>
        <w:tc>
          <w:tcPr>
            <w:tcW w:w="5499" w:type="dxa"/>
          </w:tcPr>
          <w:p w14:paraId="1B8C7BAB" w14:textId="77777777" w:rsidR="0017389F" w:rsidRPr="00765ADE" w:rsidRDefault="0017389F" w:rsidP="003B04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389F" w:rsidRPr="00765ADE" w14:paraId="36434B12" w14:textId="77777777" w:rsidTr="00066E34">
        <w:trPr>
          <w:trHeight w:val="1765"/>
        </w:trPr>
        <w:tc>
          <w:tcPr>
            <w:tcW w:w="2214" w:type="dxa"/>
            <w:vMerge/>
            <w:shd w:val="clear" w:color="auto" w:fill="B4C6E7" w:themeFill="accent1" w:themeFillTint="66"/>
          </w:tcPr>
          <w:p w14:paraId="4865F7C2" w14:textId="77777777" w:rsidR="0017389F" w:rsidRPr="00765ADE" w:rsidRDefault="0017389F" w:rsidP="003B04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2" w:type="dxa"/>
          </w:tcPr>
          <w:p w14:paraId="48E79255" w14:textId="2BFD8648" w:rsidR="0017389F" w:rsidRPr="00765ADE" w:rsidRDefault="00063D52" w:rsidP="003B0420">
            <w:pPr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65ADE">
              <w:rPr>
                <w:rFonts w:ascii="Arial" w:hAnsi="Arial" w:cs="Arial"/>
                <w:sz w:val="24"/>
                <w:szCs w:val="24"/>
              </w:rPr>
              <w:t>Consider what the unintended consequences of your work might be</w:t>
            </w:r>
            <w:r w:rsidR="004369D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ADEADC3" w14:textId="6CC819CE" w:rsidR="007F6BD7" w:rsidRPr="00765ADE" w:rsidRDefault="007F6BD7" w:rsidP="003B0420">
            <w:pPr>
              <w:spacing w:after="160" w:line="259" w:lineRule="auto"/>
              <w:rPr>
                <w:rFonts w:ascii="Arial" w:hAnsi="Arial" w:cs="Arial"/>
                <w:i/>
                <w:iCs/>
                <w:color w:val="FFC000"/>
                <w:sz w:val="24"/>
                <w:szCs w:val="24"/>
              </w:rPr>
            </w:pPr>
            <w:r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Will something you are doing inadvertently affect a group negatively or have a knock-on </w:t>
            </w:r>
            <w:proofErr w:type="spellStart"/>
            <w:r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affect</w:t>
            </w:r>
            <w:proofErr w:type="spellEnd"/>
            <w:r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 (this could be across the system, or in relation to the service itself). What could you do to minimise those unintended consequences?</w:t>
            </w:r>
          </w:p>
        </w:tc>
        <w:tc>
          <w:tcPr>
            <w:tcW w:w="5499" w:type="dxa"/>
          </w:tcPr>
          <w:p w14:paraId="1BBCD4FA" w14:textId="77777777" w:rsidR="0017389F" w:rsidRPr="00765ADE" w:rsidRDefault="0017389F" w:rsidP="003B04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7CB" w:rsidRPr="00765ADE" w14:paraId="72E77441" w14:textId="77777777" w:rsidTr="00066E34">
        <w:trPr>
          <w:trHeight w:val="3766"/>
        </w:trPr>
        <w:tc>
          <w:tcPr>
            <w:tcW w:w="2214" w:type="dxa"/>
            <w:shd w:val="clear" w:color="auto" w:fill="B4C6E7" w:themeFill="accent1" w:themeFillTint="66"/>
          </w:tcPr>
          <w:p w14:paraId="6DC32A74" w14:textId="45ED0A32" w:rsidR="00C017CB" w:rsidRPr="00765ADE" w:rsidRDefault="00C017CB" w:rsidP="003B04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5A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How might your work address the needs of different groups that </w:t>
            </w:r>
            <w:r w:rsidR="00FD3880">
              <w:rPr>
                <w:rFonts w:ascii="Arial" w:hAnsi="Arial" w:cs="Arial"/>
                <w:b/>
                <w:bCs/>
                <w:sz w:val="24"/>
                <w:szCs w:val="24"/>
              </w:rPr>
              <w:t>experience health inequalities</w:t>
            </w:r>
            <w:r w:rsidRPr="00765ADE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6712" w:type="dxa"/>
          </w:tcPr>
          <w:p w14:paraId="5BE19535" w14:textId="77777777" w:rsidR="00C017CB" w:rsidRPr="00765ADE" w:rsidRDefault="00C017CB" w:rsidP="003B042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65ADE">
              <w:rPr>
                <w:rFonts w:ascii="Arial" w:hAnsi="Arial" w:cs="Arial"/>
                <w:sz w:val="24"/>
                <w:szCs w:val="24"/>
              </w:rPr>
              <w:t>Protected characteristics</w:t>
            </w:r>
          </w:p>
          <w:p w14:paraId="5E681400" w14:textId="163995A2" w:rsidR="00C017CB" w:rsidRPr="00765ADE" w:rsidRDefault="00C017CB" w:rsidP="003B042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65ADE">
              <w:rPr>
                <w:rFonts w:ascii="Arial" w:hAnsi="Arial" w:cs="Arial"/>
                <w:sz w:val="24"/>
                <w:szCs w:val="24"/>
              </w:rPr>
              <w:t>Socio-economic status or geographic deprivation</w:t>
            </w:r>
          </w:p>
          <w:p w14:paraId="483E6EA8" w14:textId="4B8C2E2C" w:rsidR="00C017CB" w:rsidRDefault="00C017CB" w:rsidP="003B042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65ADE">
              <w:rPr>
                <w:rFonts w:ascii="Arial" w:hAnsi="Arial" w:cs="Arial"/>
                <w:sz w:val="24"/>
                <w:szCs w:val="24"/>
              </w:rPr>
              <w:t xml:space="preserve">Specific socially excluded or vulnerable groups </w:t>
            </w:r>
            <w:r w:rsidR="00107883" w:rsidRPr="00765ADE">
              <w:rPr>
                <w:rFonts w:ascii="Arial" w:hAnsi="Arial" w:cs="Arial"/>
                <w:sz w:val="24"/>
                <w:szCs w:val="24"/>
              </w:rPr>
              <w:t>e.g.,</w:t>
            </w:r>
            <w:r w:rsidRPr="00765ADE">
              <w:rPr>
                <w:rFonts w:ascii="Arial" w:hAnsi="Arial" w:cs="Arial"/>
                <w:sz w:val="24"/>
                <w:szCs w:val="24"/>
              </w:rPr>
              <w:t xml:space="preserve"> people experiencing homelessness, prison leavers, young people leaving </w:t>
            </w:r>
            <w:proofErr w:type="gramStart"/>
            <w:r w:rsidRPr="00765ADE">
              <w:rPr>
                <w:rFonts w:ascii="Arial" w:hAnsi="Arial" w:cs="Arial"/>
                <w:sz w:val="24"/>
                <w:szCs w:val="24"/>
              </w:rPr>
              <w:t>care</w:t>
            </w:r>
            <w:proofErr w:type="gramEnd"/>
          </w:p>
          <w:p w14:paraId="6B7ABB97" w14:textId="77777777" w:rsidR="00107883" w:rsidRPr="00765ADE" w:rsidRDefault="00107883" w:rsidP="003B042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73408E16" w14:textId="54D7E086" w:rsidR="007F6BD7" w:rsidRPr="00765ADE" w:rsidRDefault="007F6BD7" w:rsidP="003B042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Is there anything specifically that you do (or need to do) to ensure that people with protected characteristics can get the best out of your service/area? Do you/should you make reasonable adjustments </w:t>
            </w:r>
            <w:r w:rsidR="00491726"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and what do they look like? How do you engage with this group and is this group actively using your service?</w:t>
            </w:r>
          </w:p>
        </w:tc>
        <w:tc>
          <w:tcPr>
            <w:tcW w:w="5499" w:type="dxa"/>
          </w:tcPr>
          <w:p w14:paraId="0E97DC34" w14:textId="77777777" w:rsidR="00C017CB" w:rsidRPr="00765ADE" w:rsidRDefault="00C017CB" w:rsidP="003B04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389F" w:rsidRPr="00765ADE" w14:paraId="50F2424C" w14:textId="77777777" w:rsidTr="00066E34">
        <w:trPr>
          <w:trHeight w:val="256"/>
        </w:trPr>
        <w:tc>
          <w:tcPr>
            <w:tcW w:w="2214" w:type="dxa"/>
            <w:shd w:val="clear" w:color="auto" w:fill="D9D9D9" w:themeFill="background1" w:themeFillShade="D9"/>
          </w:tcPr>
          <w:p w14:paraId="743A7AE1" w14:textId="77777777" w:rsidR="0017389F" w:rsidRPr="00765ADE" w:rsidRDefault="0017389F" w:rsidP="003B04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2" w:type="dxa"/>
            <w:shd w:val="clear" w:color="auto" w:fill="D9D9D9" w:themeFill="background1" w:themeFillShade="D9"/>
          </w:tcPr>
          <w:p w14:paraId="02890453" w14:textId="77777777" w:rsidR="0017389F" w:rsidRPr="00765ADE" w:rsidRDefault="0017389F" w:rsidP="003B0420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9" w:type="dxa"/>
            <w:shd w:val="clear" w:color="auto" w:fill="D9D9D9" w:themeFill="background1" w:themeFillShade="D9"/>
          </w:tcPr>
          <w:p w14:paraId="5D779DEC" w14:textId="77777777" w:rsidR="0017389F" w:rsidRPr="00765ADE" w:rsidRDefault="0017389F" w:rsidP="003B04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389F" w:rsidRPr="00765ADE" w14:paraId="1D49D815" w14:textId="77777777" w:rsidTr="00066E34">
        <w:trPr>
          <w:trHeight w:val="3345"/>
        </w:trPr>
        <w:tc>
          <w:tcPr>
            <w:tcW w:w="2214" w:type="dxa"/>
            <w:vMerge w:val="restart"/>
            <w:shd w:val="clear" w:color="auto" w:fill="B4C6E7" w:themeFill="accent1" w:themeFillTint="66"/>
          </w:tcPr>
          <w:p w14:paraId="753EAAA8" w14:textId="148CBED1" w:rsidR="0017389F" w:rsidRPr="00765ADE" w:rsidRDefault="00593EEE" w:rsidP="003B04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3EEE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STAGE 3</w:t>
            </w:r>
            <w:r w:rsidR="0017389F" w:rsidRPr="00593EEE">
              <w:rPr>
                <w:rFonts w:ascii="Arial" w:hAnsi="Arial" w:cs="Arial"/>
                <w:sz w:val="24"/>
                <w:szCs w:val="24"/>
              </w:rPr>
              <w:t>:</w:t>
            </w:r>
            <w:r w:rsidR="0017389F" w:rsidRPr="00765A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What are the next steps?</w:t>
            </w:r>
          </w:p>
          <w:p w14:paraId="3463D8C0" w14:textId="77777777" w:rsidR="0017389F" w:rsidRPr="00765ADE" w:rsidRDefault="0017389F" w:rsidP="003B04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12" w:type="dxa"/>
          </w:tcPr>
          <w:p w14:paraId="2F0FCE4F" w14:textId="77777777" w:rsidR="00C2224B" w:rsidRPr="00765ADE" w:rsidRDefault="00063D52" w:rsidP="003B0420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65ADE">
              <w:rPr>
                <w:rFonts w:ascii="Arial" w:hAnsi="Arial" w:cs="Arial"/>
                <w:sz w:val="24"/>
                <w:szCs w:val="24"/>
              </w:rPr>
              <w:t>What specific actions will you take to address health inequalities and the needs of groups/communities with protected characteristics?</w:t>
            </w:r>
          </w:p>
          <w:p w14:paraId="19D7A948" w14:textId="77777777" w:rsidR="00C2224B" w:rsidRDefault="00C2224B" w:rsidP="003B0420">
            <w:pPr>
              <w:spacing w:after="160" w:line="259" w:lineRule="auto"/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</w:pPr>
            <w:r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Think about activities that will make a difference </w:t>
            </w:r>
            <w:r w:rsidR="00627AFD"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–</w:t>
            </w:r>
            <w:r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 thes</w:t>
            </w:r>
            <w:r w:rsidR="00627AFD"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e could be in relation to your workforce</w:t>
            </w:r>
            <w:r w:rsidR="004C33EC"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 (the questions they ask, the knowledge they have, the data they collect)</w:t>
            </w:r>
            <w:r w:rsidR="00627AFD"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, how you </w:t>
            </w:r>
            <w:r w:rsidR="00571683"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engage with and get opinions from service users with protected characteristics or wider determinants of health factors</w:t>
            </w:r>
            <w:r w:rsidR="00334DA8"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, making reasonable adjustments to provision, any</w:t>
            </w:r>
            <w:r w:rsidR="004C33EC"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 service targeting to help improve service uptake for different cohorts</w:t>
            </w:r>
            <w:r w:rsidR="00571683"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. </w:t>
            </w:r>
          </w:p>
          <w:p w14:paraId="757F1065" w14:textId="20F8235A" w:rsidR="00055E74" w:rsidRPr="00055E74" w:rsidRDefault="00055E74" w:rsidP="004369DF">
            <w:pPr>
              <w:spacing w:after="160" w:line="259" w:lineRule="auto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 w:rsidRPr="003B042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If you do identify a data gap and wish to </w:t>
            </w:r>
            <w:r w:rsidR="003B0420" w:rsidRPr="003B042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address</w:t>
            </w:r>
            <w:r w:rsidRPr="003B042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 it by asking a service to collect i</w:t>
            </w:r>
            <w:r w:rsidR="003B042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t going forward, </w:t>
            </w:r>
            <w:r w:rsidRPr="003B042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remember to talk to information governance</w:t>
            </w:r>
            <w:r w:rsidR="003B042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 colleagues</w:t>
            </w:r>
            <w:r w:rsidRPr="003B042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 and the owner of the data system</w:t>
            </w:r>
            <w:r w:rsidR="003B042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 to</w:t>
            </w:r>
            <w:r w:rsidRPr="003B042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 ensure this is collected in a centralised way. </w:t>
            </w:r>
          </w:p>
        </w:tc>
        <w:tc>
          <w:tcPr>
            <w:tcW w:w="5499" w:type="dxa"/>
          </w:tcPr>
          <w:p w14:paraId="26A4D9F2" w14:textId="77777777" w:rsidR="0017389F" w:rsidRPr="00765ADE" w:rsidRDefault="0017389F" w:rsidP="003B04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389F" w:rsidRPr="00765ADE" w14:paraId="6353A5E6" w14:textId="77777777" w:rsidTr="00066E34">
        <w:trPr>
          <w:trHeight w:val="2684"/>
        </w:trPr>
        <w:tc>
          <w:tcPr>
            <w:tcW w:w="2214" w:type="dxa"/>
            <w:vMerge/>
            <w:shd w:val="clear" w:color="auto" w:fill="B4C6E7" w:themeFill="accent1" w:themeFillTint="66"/>
          </w:tcPr>
          <w:p w14:paraId="34F355D3" w14:textId="77777777" w:rsidR="0017389F" w:rsidRPr="00765ADE" w:rsidRDefault="0017389F" w:rsidP="003B04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12" w:type="dxa"/>
          </w:tcPr>
          <w:p w14:paraId="7549784B" w14:textId="77777777" w:rsidR="00697927" w:rsidRPr="00765ADE" w:rsidRDefault="00063D52" w:rsidP="003B0420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65ADE">
              <w:rPr>
                <w:rFonts w:ascii="Arial" w:hAnsi="Arial" w:cs="Arial"/>
                <w:sz w:val="24"/>
                <w:szCs w:val="24"/>
              </w:rPr>
              <w:t>Is there anything that can be done to shift your work ‘upstream’ to make it more likely to reduce health inequalities?</w:t>
            </w:r>
          </w:p>
          <w:p w14:paraId="76306254" w14:textId="23F35B60" w:rsidR="0017389F" w:rsidRPr="00107883" w:rsidRDefault="00107883" w:rsidP="003B0420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07883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Remember, shifting work upstream means focusing on the root causes of health inequalities – the ‘causes of the causes’ or ‘wider determinants’ such as employment, housing, and education.</w:t>
            </w:r>
          </w:p>
        </w:tc>
        <w:tc>
          <w:tcPr>
            <w:tcW w:w="5499" w:type="dxa"/>
          </w:tcPr>
          <w:p w14:paraId="39393930" w14:textId="77777777" w:rsidR="0017389F" w:rsidRPr="00765ADE" w:rsidRDefault="0017389F" w:rsidP="003B04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389F" w:rsidRPr="00765ADE" w14:paraId="135D8157" w14:textId="77777777" w:rsidTr="00066E34">
        <w:trPr>
          <w:trHeight w:val="2630"/>
        </w:trPr>
        <w:tc>
          <w:tcPr>
            <w:tcW w:w="2214" w:type="dxa"/>
            <w:vMerge w:val="restart"/>
            <w:shd w:val="clear" w:color="auto" w:fill="B4C6E7" w:themeFill="accent1" w:themeFillTint="66"/>
          </w:tcPr>
          <w:p w14:paraId="41B375BC" w14:textId="1CB8C3E2" w:rsidR="0017389F" w:rsidRPr="00765ADE" w:rsidRDefault="0017389F" w:rsidP="003B04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3EEE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S</w:t>
            </w:r>
            <w:r w:rsidR="00593EEE" w:rsidRPr="00593EEE">
              <w:rPr>
                <w:rFonts w:ascii="Arial" w:hAnsi="Arial" w:cs="Arial"/>
                <w:sz w:val="24"/>
                <w:szCs w:val="24"/>
                <w:u w:val="single"/>
              </w:rPr>
              <w:t>TAGE</w:t>
            </w:r>
            <w:r w:rsidRPr="00593EEE">
              <w:rPr>
                <w:rFonts w:ascii="Arial" w:hAnsi="Arial" w:cs="Arial"/>
                <w:sz w:val="24"/>
                <w:szCs w:val="24"/>
                <w:u w:val="single"/>
              </w:rPr>
              <w:t xml:space="preserve"> 4</w:t>
            </w:r>
            <w:r w:rsidRPr="00593EEE">
              <w:rPr>
                <w:rFonts w:ascii="Arial" w:hAnsi="Arial" w:cs="Arial"/>
                <w:sz w:val="24"/>
                <w:szCs w:val="24"/>
              </w:rPr>
              <w:t>:</w:t>
            </w:r>
            <w:r w:rsidRPr="00765A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How will you monitor and evaluate the effect of your work?</w:t>
            </w:r>
          </w:p>
          <w:p w14:paraId="2148B7C7" w14:textId="77777777" w:rsidR="0017389F" w:rsidRPr="00765ADE" w:rsidRDefault="0017389F" w:rsidP="003B04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12" w:type="dxa"/>
          </w:tcPr>
          <w:p w14:paraId="304C134B" w14:textId="77777777" w:rsidR="0017389F" w:rsidRPr="00765ADE" w:rsidRDefault="0017389F" w:rsidP="003B04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8CFD09" w14:textId="77777777" w:rsidR="00063D52" w:rsidRPr="00765ADE" w:rsidRDefault="00063D52" w:rsidP="003B0420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65ADE">
              <w:rPr>
                <w:rFonts w:ascii="Arial" w:hAnsi="Arial" w:cs="Arial"/>
                <w:sz w:val="24"/>
                <w:szCs w:val="24"/>
              </w:rPr>
              <w:t xml:space="preserve">What quantitative and/or qualitative evaluation will be established to check you have achieved the actions you set? </w:t>
            </w:r>
          </w:p>
          <w:p w14:paraId="76A688B3" w14:textId="77777777" w:rsidR="0017389F" w:rsidRDefault="002F3743" w:rsidP="003B0420">
            <w:pP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</w:pPr>
            <w:r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How are you going to measure improvement? Think about quantitative AND qualitative methods. What will be the timescales for seeing the improvement and how often will you evaluate? </w:t>
            </w:r>
          </w:p>
          <w:p w14:paraId="73A529A9" w14:textId="77777777" w:rsidR="00107883" w:rsidRDefault="00107883" w:rsidP="003B042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DBF1BBD" w14:textId="7C1E8A2E" w:rsidR="00F22E9A" w:rsidRPr="00F22E9A" w:rsidRDefault="003B0420" w:rsidP="003B0420">
            <w:pPr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 w:rsidRPr="003B042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Remember:</w:t>
            </w:r>
            <w:r w:rsidR="00F22E9A" w:rsidRPr="003B042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 when deciding how to evaluate your work, ensure the information required to do this is collected at the beginning.</w:t>
            </w:r>
          </w:p>
        </w:tc>
        <w:tc>
          <w:tcPr>
            <w:tcW w:w="5499" w:type="dxa"/>
          </w:tcPr>
          <w:p w14:paraId="279828AF" w14:textId="77777777" w:rsidR="0017389F" w:rsidRPr="00765ADE" w:rsidRDefault="0017389F" w:rsidP="003B04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389F" w:rsidRPr="00765ADE" w14:paraId="28E311D4" w14:textId="77777777" w:rsidTr="00066E34">
        <w:trPr>
          <w:trHeight w:val="1824"/>
        </w:trPr>
        <w:tc>
          <w:tcPr>
            <w:tcW w:w="2214" w:type="dxa"/>
            <w:vMerge/>
            <w:shd w:val="clear" w:color="auto" w:fill="B4C6E7" w:themeFill="accent1" w:themeFillTint="66"/>
          </w:tcPr>
          <w:p w14:paraId="0537B030" w14:textId="77777777" w:rsidR="0017389F" w:rsidRPr="00765ADE" w:rsidRDefault="0017389F" w:rsidP="003B04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12" w:type="dxa"/>
          </w:tcPr>
          <w:p w14:paraId="0DAE7FAE" w14:textId="77777777" w:rsidR="00063D52" w:rsidRPr="00765ADE" w:rsidRDefault="00063D52" w:rsidP="003B0420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65ADE">
              <w:rPr>
                <w:rFonts w:ascii="Arial" w:hAnsi="Arial" w:cs="Arial"/>
                <w:sz w:val="24"/>
                <w:szCs w:val="24"/>
              </w:rPr>
              <w:t xml:space="preserve">What output or process measures will you use? </w:t>
            </w:r>
          </w:p>
          <w:p w14:paraId="7244F7FE" w14:textId="23D1DF2E" w:rsidR="0017389F" w:rsidRDefault="002F3743" w:rsidP="003B0420">
            <w:pP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</w:pPr>
            <w:r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What does good look like? Think about key performance indicators? Try to be SMART in thinking about the outcomes, to help decide what would constitute </w:t>
            </w:r>
            <w:r w:rsidR="003B042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‘</w:t>
            </w:r>
            <w:proofErr w:type="gramStart"/>
            <w:r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success</w:t>
            </w:r>
            <w:r w:rsidR="003B042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’</w:t>
            </w:r>
            <w:proofErr w:type="gramEnd"/>
            <w:r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.</w:t>
            </w:r>
          </w:p>
          <w:p w14:paraId="446EE326" w14:textId="6DD728CB" w:rsidR="00107883" w:rsidRPr="00765ADE" w:rsidRDefault="00107883" w:rsidP="003B042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499" w:type="dxa"/>
          </w:tcPr>
          <w:p w14:paraId="6D0D0E1B" w14:textId="77777777" w:rsidR="0017389F" w:rsidRPr="00765ADE" w:rsidRDefault="0017389F" w:rsidP="003B04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743" w:rsidRPr="00765ADE" w14:paraId="59E8E0A5" w14:textId="77777777" w:rsidTr="00066E34">
        <w:trPr>
          <w:trHeight w:val="1005"/>
        </w:trPr>
        <w:tc>
          <w:tcPr>
            <w:tcW w:w="2214" w:type="dxa"/>
            <w:vMerge w:val="restart"/>
            <w:shd w:val="clear" w:color="auto" w:fill="B4C6E7" w:themeFill="accent1" w:themeFillTint="66"/>
          </w:tcPr>
          <w:p w14:paraId="0F9ED17F" w14:textId="698923CB" w:rsidR="002F3743" w:rsidRPr="00765ADE" w:rsidRDefault="00593EEE" w:rsidP="003B04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3EEE">
              <w:rPr>
                <w:rFonts w:ascii="Arial" w:hAnsi="Arial" w:cs="Arial"/>
                <w:sz w:val="24"/>
                <w:szCs w:val="24"/>
                <w:u w:val="single"/>
              </w:rPr>
              <w:t>STAGE 5</w:t>
            </w:r>
            <w:r w:rsidR="002F3743" w:rsidRPr="00593EEE">
              <w:rPr>
                <w:rFonts w:ascii="Arial" w:hAnsi="Arial" w:cs="Arial"/>
                <w:sz w:val="24"/>
                <w:szCs w:val="24"/>
              </w:rPr>
              <w:t>:</w:t>
            </w:r>
            <w:r w:rsidR="002F3743" w:rsidRPr="00765A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Review</w:t>
            </w:r>
          </w:p>
          <w:p w14:paraId="2A2FBAC6" w14:textId="06830D2B" w:rsidR="002F3743" w:rsidRPr="00765ADE" w:rsidRDefault="002F3743" w:rsidP="003B0420">
            <w:pPr>
              <w:rPr>
                <w:rFonts w:ascii="Arial" w:hAnsi="Arial" w:cs="Arial"/>
                <w:sz w:val="24"/>
                <w:szCs w:val="24"/>
              </w:rPr>
            </w:pPr>
            <w:r w:rsidRPr="00765ADE">
              <w:rPr>
                <w:rFonts w:ascii="Arial" w:hAnsi="Arial" w:cs="Arial"/>
                <w:b/>
                <w:bCs/>
                <w:sz w:val="24"/>
                <w:szCs w:val="24"/>
              </w:rPr>
              <w:t>(To be completed 6-12 months after first completion)</w:t>
            </w:r>
          </w:p>
        </w:tc>
        <w:tc>
          <w:tcPr>
            <w:tcW w:w="6712" w:type="dxa"/>
          </w:tcPr>
          <w:p w14:paraId="5BC736CF" w14:textId="77777777" w:rsidR="00063D52" w:rsidRPr="00765ADE" w:rsidRDefault="00063D52" w:rsidP="003B0420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65ADE">
              <w:rPr>
                <w:rFonts w:ascii="Arial" w:hAnsi="Arial" w:cs="Arial"/>
                <w:sz w:val="24"/>
                <w:szCs w:val="24"/>
              </w:rPr>
              <w:t xml:space="preserve">Consider lessons learnt – what will you do differently? </w:t>
            </w:r>
          </w:p>
          <w:p w14:paraId="57BC9E1C" w14:textId="5253B9AE" w:rsidR="002F3743" w:rsidRPr="003B0420" w:rsidRDefault="00F22E9A" w:rsidP="003B0420">
            <w:pP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</w:pPr>
            <w:r w:rsidRPr="003B042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Could you captur</w:t>
            </w:r>
            <w:r w:rsidR="003B0420" w:rsidRPr="003B042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e </w:t>
            </w:r>
            <w:r w:rsidRPr="003B042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and shar</w:t>
            </w:r>
            <w:r w:rsidR="003B0420" w:rsidRPr="003B042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e this?</w:t>
            </w:r>
          </w:p>
          <w:p w14:paraId="041CFFB9" w14:textId="710724F8" w:rsidR="00F22E9A" w:rsidRPr="00F22E9A" w:rsidRDefault="00F22E9A" w:rsidP="003B0420">
            <w:pPr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499" w:type="dxa"/>
          </w:tcPr>
          <w:p w14:paraId="678AFBC0" w14:textId="77777777" w:rsidR="002F3743" w:rsidRPr="00765ADE" w:rsidRDefault="002F3743" w:rsidP="003B04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743" w:rsidRPr="00765ADE" w14:paraId="364E78E7" w14:textId="77777777" w:rsidTr="00066E34">
        <w:trPr>
          <w:trHeight w:val="1005"/>
        </w:trPr>
        <w:tc>
          <w:tcPr>
            <w:tcW w:w="2214" w:type="dxa"/>
            <w:vMerge/>
            <w:shd w:val="clear" w:color="auto" w:fill="B4C6E7" w:themeFill="accent1" w:themeFillTint="66"/>
          </w:tcPr>
          <w:p w14:paraId="55FF095C" w14:textId="77777777" w:rsidR="002F3743" w:rsidRPr="00765ADE" w:rsidRDefault="002F3743" w:rsidP="003B04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2" w:type="dxa"/>
          </w:tcPr>
          <w:p w14:paraId="6C005C0A" w14:textId="77777777" w:rsidR="00063D52" w:rsidRPr="00765ADE" w:rsidRDefault="00063D52" w:rsidP="003B0420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65ADE">
              <w:rPr>
                <w:rFonts w:ascii="Arial" w:hAnsi="Arial" w:cs="Arial"/>
                <w:sz w:val="24"/>
                <w:szCs w:val="24"/>
              </w:rPr>
              <w:t xml:space="preserve">Identify actions and changes to your programme to drive </w:t>
            </w:r>
            <w:proofErr w:type="gramStart"/>
            <w:r w:rsidRPr="00765ADE">
              <w:rPr>
                <w:rFonts w:ascii="Arial" w:hAnsi="Arial" w:cs="Arial"/>
                <w:sz w:val="24"/>
                <w:szCs w:val="24"/>
              </w:rPr>
              <w:t>improvement</w:t>
            </w:r>
            <w:proofErr w:type="gramEnd"/>
            <w:r w:rsidRPr="00765AD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A3CB3B4" w14:textId="3A22395A" w:rsidR="002F3743" w:rsidRDefault="002F3743" w:rsidP="003B0420">
            <w:pP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</w:pPr>
            <w:r w:rsidRPr="00722192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Make sure you build in a review date!</w:t>
            </w:r>
          </w:p>
          <w:p w14:paraId="4DFF03E4" w14:textId="77777777" w:rsidR="003B0420" w:rsidRDefault="003B0420" w:rsidP="003B0420">
            <w:pP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</w:pPr>
          </w:p>
          <w:p w14:paraId="3416EC15" w14:textId="64DE830E" w:rsidR="00107883" w:rsidRPr="00765ADE" w:rsidRDefault="00F22E9A" w:rsidP="00066E3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B042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For continuity, document your learning </w:t>
            </w:r>
            <w:r w:rsidR="003B0420" w:rsidRPr="003B042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and think about/discuss how to communicate this work and ensure that this work</w:t>
            </w:r>
            <w:r w:rsidRPr="003B042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 is sustainable</w:t>
            </w:r>
            <w:r w:rsidRPr="00066E34">
              <w:rPr>
                <w:rFonts w:ascii="Arial" w:hAnsi="Arial" w:cs="Arial"/>
                <w:i/>
                <w:iCs/>
                <w:color w:val="385623" w:themeColor="accent6" w:themeShade="80"/>
                <w:sz w:val="24"/>
                <w:szCs w:val="24"/>
              </w:rPr>
              <w:t>.</w:t>
            </w:r>
          </w:p>
        </w:tc>
        <w:tc>
          <w:tcPr>
            <w:tcW w:w="5499" w:type="dxa"/>
          </w:tcPr>
          <w:p w14:paraId="6E6BBD6A" w14:textId="77777777" w:rsidR="002F3743" w:rsidRPr="00765ADE" w:rsidRDefault="002F3743" w:rsidP="003B04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9A2CCE" w14:textId="3C61A67D" w:rsidR="00F21EE9" w:rsidRPr="00107883" w:rsidRDefault="00F21EE9" w:rsidP="00066E34">
      <w:pPr>
        <w:rPr>
          <w:rFonts w:ascii="Arial" w:hAnsi="Arial" w:cs="Arial"/>
          <w:sz w:val="24"/>
          <w:szCs w:val="24"/>
        </w:rPr>
      </w:pPr>
    </w:p>
    <w:sectPr w:rsidR="00F21EE9" w:rsidRPr="00107883" w:rsidSect="0017389F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82FFF" w14:textId="77777777" w:rsidR="00394038" w:rsidRDefault="00394038" w:rsidP="00394038">
      <w:pPr>
        <w:spacing w:after="0" w:line="240" w:lineRule="auto"/>
      </w:pPr>
      <w:r>
        <w:separator/>
      </w:r>
    </w:p>
  </w:endnote>
  <w:endnote w:type="continuationSeparator" w:id="0">
    <w:p w14:paraId="6C648F99" w14:textId="77777777" w:rsidR="00394038" w:rsidRDefault="00394038" w:rsidP="00394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B8B9" w14:textId="3BF4569C" w:rsidR="00823120" w:rsidRPr="00066E34" w:rsidRDefault="00394038">
    <w:pPr>
      <w:pStyle w:val="Footer"/>
      <w:rPr>
        <w:rFonts w:ascii="Arial" w:hAnsi="Arial" w:cs="Arial"/>
        <w:sz w:val="20"/>
        <w:szCs w:val="20"/>
      </w:rPr>
    </w:pPr>
    <w:bookmarkStart w:id="0" w:name="_Hlk125037874"/>
    <w:bookmarkStart w:id="1" w:name="_Hlk125038066"/>
    <w:bookmarkStart w:id="2" w:name="_Hlk125038067"/>
    <w:r w:rsidRPr="00066E34">
      <w:rPr>
        <w:rFonts w:ascii="Arial" w:hAnsi="Arial" w:cs="Arial"/>
        <w:sz w:val="20"/>
        <w:szCs w:val="20"/>
      </w:rPr>
      <w:t>Gloucestershire HEAT</w:t>
    </w:r>
    <w:r w:rsidR="0001016A" w:rsidRPr="00066E34">
      <w:rPr>
        <w:rFonts w:ascii="Arial" w:hAnsi="Arial" w:cs="Arial"/>
        <w:sz w:val="20"/>
        <w:szCs w:val="20"/>
      </w:rPr>
      <w:t xml:space="preserve"> template and guidance</w:t>
    </w:r>
    <w:r w:rsidR="0017389F" w:rsidRPr="00066E34">
      <w:rPr>
        <w:rFonts w:ascii="Arial" w:hAnsi="Arial" w:cs="Arial"/>
        <w:sz w:val="20"/>
        <w:szCs w:val="20"/>
      </w:rPr>
      <w:t xml:space="preserve"> based on:</w:t>
    </w:r>
    <w:r w:rsidRPr="00066E34">
      <w:rPr>
        <w:rFonts w:ascii="Arial" w:hAnsi="Arial" w:cs="Arial"/>
        <w:sz w:val="20"/>
        <w:szCs w:val="20"/>
      </w:rPr>
      <w:t xml:space="preserve"> </w:t>
    </w:r>
    <w:hyperlink r:id="rId1" w:history="1">
      <w:r w:rsidR="00417B28">
        <w:rPr>
          <w:rStyle w:val="Hyperlink"/>
        </w:rPr>
        <w:t xml:space="preserve">Health Equity Assessment Tool </w:t>
      </w:r>
      <w:r w:rsidR="00417B28">
        <w:rPr>
          <w:rStyle w:val="Hyperlink"/>
        </w:rPr>
        <w:t>(</w:t>
      </w:r>
      <w:r w:rsidR="00417B28">
        <w:rPr>
          <w:rStyle w:val="Hyperlink"/>
        </w:rPr>
        <w:t>HEAT) - GOV.UK (www.gov.uk)</w:t>
      </w:r>
    </w:hyperlink>
    <w:r w:rsidR="00823120" w:rsidRPr="00066E34">
      <w:rPr>
        <w:rStyle w:val="Hyperlink"/>
        <w:rFonts w:ascii="Arial" w:hAnsi="Arial" w:cs="Arial"/>
        <w:color w:val="auto"/>
        <w:sz w:val="20"/>
        <w:szCs w:val="20"/>
        <w:u w:val="none"/>
      </w:rPr>
      <w:t xml:space="preserve"> </w:t>
    </w:r>
    <w:r w:rsidR="004369DF" w:rsidRPr="00066E34">
      <w:rPr>
        <w:rStyle w:val="Hyperlink"/>
        <w:rFonts w:ascii="Arial" w:hAnsi="Arial" w:cs="Arial"/>
        <w:color w:val="auto"/>
        <w:sz w:val="20"/>
        <w:szCs w:val="20"/>
        <w:u w:val="none"/>
      </w:rPr>
      <w:t>l</w:t>
    </w:r>
    <w:r w:rsidR="00823120" w:rsidRPr="00066E34">
      <w:rPr>
        <w:rStyle w:val="Hyperlink"/>
        <w:rFonts w:ascii="Arial" w:hAnsi="Arial" w:cs="Arial"/>
        <w:color w:val="auto"/>
        <w:sz w:val="20"/>
        <w:szCs w:val="20"/>
        <w:u w:val="none"/>
      </w:rPr>
      <w:t xml:space="preserve">ast updated </w:t>
    </w:r>
    <w:r w:rsidR="004369DF" w:rsidRPr="00066E34">
      <w:rPr>
        <w:rStyle w:val="Hyperlink"/>
        <w:rFonts w:ascii="Arial" w:hAnsi="Arial" w:cs="Arial"/>
        <w:color w:val="auto"/>
        <w:sz w:val="20"/>
        <w:szCs w:val="20"/>
        <w:u w:val="none"/>
      </w:rPr>
      <w:t>March</w:t>
    </w:r>
    <w:r w:rsidR="00823120" w:rsidRPr="00066E34">
      <w:rPr>
        <w:rStyle w:val="Hyperlink"/>
        <w:rFonts w:ascii="Arial" w:hAnsi="Arial" w:cs="Arial"/>
        <w:color w:val="auto"/>
        <w:sz w:val="20"/>
        <w:szCs w:val="20"/>
        <w:u w:val="none"/>
      </w:rPr>
      <w:t xml:space="preserve"> 2023</w:t>
    </w:r>
  </w:p>
  <w:bookmarkEnd w:id="0"/>
  <w:bookmarkEnd w:id="1"/>
  <w:bookmarkEnd w:id="2"/>
  <w:p w14:paraId="6DD63C4D" w14:textId="77777777" w:rsidR="00394038" w:rsidRPr="00765ADE" w:rsidRDefault="00394038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D7135" w14:textId="77777777" w:rsidR="00394038" w:rsidRDefault="00394038" w:rsidP="00394038">
      <w:pPr>
        <w:spacing w:after="0" w:line="240" w:lineRule="auto"/>
      </w:pPr>
      <w:r>
        <w:separator/>
      </w:r>
    </w:p>
  </w:footnote>
  <w:footnote w:type="continuationSeparator" w:id="0">
    <w:p w14:paraId="27B6EF43" w14:textId="77777777" w:rsidR="00394038" w:rsidRDefault="00394038" w:rsidP="00394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B0567"/>
    <w:multiLevelType w:val="hybridMultilevel"/>
    <w:tmpl w:val="E236B3DE"/>
    <w:lvl w:ilvl="0" w:tplc="EA36B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E2D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F60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B81B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1CD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D6D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78D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B6C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E4D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73848BB"/>
    <w:multiLevelType w:val="hybridMultilevel"/>
    <w:tmpl w:val="D562A7E0"/>
    <w:lvl w:ilvl="0" w:tplc="A746D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904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A4B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D4D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B41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56B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527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56E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EA2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CC52AD0"/>
    <w:multiLevelType w:val="hybridMultilevel"/>
    <w:tmpl w:val="4B904F1C"/>
    <w:lvl w:ilvl="0" w:tplc="6AE67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946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4A8C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5AD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ECC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1AA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A284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FA6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B88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A9E0305"/>
    <w:multiLevelType w:val="hybridMultilevel"/>
    <w:tmpl w:val="2898A7D0"/>
    <w:lvl w:ilvl="0" w:tplc="4934D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6EA2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B839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F8F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7AA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7E3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FEA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CEFE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DA8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DDB40BC"/>
    <w:multiLevelType w:val="hybridMultilevel"/>
    <w:tmpl w:val="077C6DB2"/>
    <w:lvl w:ilvl="0" w:tplc="3CEA6E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308D1"/>
    <w:multiLevelType w:val="hybridMultilevel"/>
    <w:tmpl w:val="F7D64E6C"/>
    <w:lvl w:ilvl="0" w:tplc="05644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86E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B68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3AE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F83E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F41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EE6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F8B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DC88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DCA7352"/>
    <w:multiLevelType w:val="hybridMultilevel"/>
    <w:tmpl w:val="C55009A8"/>
    <w:lvl w:ilvl="0" w:tplc="91865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FAD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74B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FC9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667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5049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A62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044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4229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70571023">
    <w:abstractNumId w:val="6"/>
  </w:num>
  <w:num w:numId="2" w16cid:durableId="1449206169">
    <w:abstractNumId w:val="3"/>
  </w:num>
  <w:num w:numId="3" w16cid:durableId="1742017998">
    <w:abstractNumId w:val="1"/>
  </w:num>
  <w:num w:numId="4" w16cid:durableId="1672829558">
    <w:abstractNumId w:val="0"/>
  </w:num>
  <w:num w:numId="5" w16cid:durableId="1596131865">
    <w:abstractNumId w:val="5"/>
  </w:num>
  <w:num w:numId="6" w16cid:durableId="165439750">
    <w:abstractNumId w:val="2"/>
  </w:num>
  <w:num w:numId="7" w16cid:durableId="1247573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7F"/>
    <w:rsid w:val="0001016A"/>
    <w:rsid w:val="000135BF"/>
    <w:rsid w:val="00022B75"/>
    <w:rsid w:val="00055E74"/>
    <w:rsid w:val="00063D52"/>
    <w:rsid w:val="00066E34"/>
    <w:rsid w:val="00067EE4"/>
    <w:rsid w:val="000B37BF"/>
    <w:rsid w:val="00107883"/>
    <w:rsid w:val="00162F3C"/>
    <w:rsid w:val="0017389F"/>
    <w:rsid w:val="00193466"/>
    <w:rsid w:val="001A5190"/>
    <w:rsid w:val="001B0611"/>
    <w:rsid w:val="001D1B5E"/>
    <w:rsid w:val="0024505F"/>
    <w:rsid w:val="002F157F"/>
    <w:rsid w:val="002F3743"/>
    <w:rsid w:val="003112D8"/>
    <w:rsid w:val="00334DA8"/>
    <w:rsid w:val="00394038"/>
    <w:rsid w:val="003B0420"/>
    <w:rsid w:val="00417B28"/>
    <w:rsid w:val="004369DF"/>
    <w:rsid w:val="00491726"/>
    <w:rsid w:val="004C33EC"/>
    <w:rsid w:val="00513577"/>
    <w:rsid w:val="005171C2"/>
    <w:rsid w:val="00541FD1"/>
    <w:rsid w:val="00571683"/>
    <w:rsid w:val="00593EEE"/>
    <w:rsid w:val="00627AFD"/>
    <w:rsid w:val="006832AE"/>
    <w:rsid w:val="00697927"/>
    <w:rsid w:val="00717965"/>
    <w:rsid w:val="00722192"/>
    <w:rsid w:val="00765ADE"/>
    <w:rsid w:val="007B2FBA"/>
    <w:rsid w:val="007D6447"/>
    <w:rsid w:val="007F6BD7"/>
    <w:rsid w:val="00823120"/>
    <w:rsid w:val="0093578D"/>
    <w:rsid w:val="0096491D"/>
    <w:rsid w:val="00A64940"/>
    <w:rsid w:val="00AC2D48"/>
    <w:rsid w:val="00B00714"/>
    <w:rsid w:val="00BE76B0"/>
    <w:rsid w:val="00BF707F"/>
    <w:rsid w:val="00C017CB"/>
    <w:rsid w:val="00C2224B"/>
    <w:rsid w:val="00C84724"/>
    <w:rsid w:val="00E33A0F"/>
    <w:rsid w:val="00E73444"/>
    <w:rsid w:val="00EF23A9"/>
    <w:rsid w:val="00EF6471"/>
    <w:rsid w:val="00F21EE9"/>
    <w:rsid w:val="00F22E9A"/>
    <w:rsid w:val="00F85893"/>
    <w:rsid w:val="00FD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5F40D"/>
  <w15:chartTrackingRefBased/>
  <w15:docId w15:val="{1A96845F-04AA-4A82-9D24-F74AF817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3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17CB"/>
    <w:pPr>
      <w:ind w:left="720"/>
      <w:contextualSpacing/>
    </w:pPr>
  </w:style>
  <w:style w:type="paragraph" w:customStyle="1" w:styleId="Default">
    <w:name w:val="Default"/>
    <w:rsid w:val="00F21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4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038"/>
  </w:style>
  <w:style w:type="paragraph" w:styleId="Footer">
    <w:name w:val="footer"/>
    <w:basedOn w:val="Normal"/>
    <w:link w:val="FooterChar"/>
    <w:uiPriority w:val="99"/>
    <w:unhideWhenUsed/>
    <w:rsid w:val="00394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038"/>
  </w:style>
  <w:style w:type="character" w:styleId="Hyperlink">
    <w:name w:val="Hyperlink"/>
    <w:basedOn w:val="DefaultParagraphFont"/>
    <w:uiPriority w:val="99"/>
    <w:unhideWhenUsed/>
    <w:rsid w:val="0039403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03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45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50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50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05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17B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9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7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6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95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9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3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99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9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5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4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oucestershire.gov.uk/health-and-social-care/public-health/gloucestershire-s-prevention-and-health-inequalities-hub/tools-to-help-you-take-action-on-health-inequalities-in-your-work-areas/the-tools/health-equity-assessment-tool-heat/suggested-data-sources-for-hea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embed/eF7ZstmCgV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loucestershire.gov.uk/health-and-social-care/public-health/gloucestershire-s-prevention-and-health-inequalities-hub/what-are-health-inequalities-and-why-do-they-matter/who-is-most-impacted-by-health-inequalitie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overnment/publications/health-equity-assessment-tool-he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C63A5-E95F-4BC4-9F5F-EA233C9A4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EMSLEY, Kate</dc:creator>
  <cp:keywords/>
  <dc:description/>
  <cp:lastModifiedBy>BROWN, Emily</cp:lastModifiedBy>
  <cp:revision>3</cp:revision>
  <dcterms:created xsi:type="dcterms:W3CDTF">2023-09-11T14:39:00Z</dcterms:created>
  <dcterms:modified xsi:type="dcterms:W3CDTF">2023-09-11T14:42:00Z</dcterms:modified>
</cp:coreProperties>
</file>