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585D" w14:textId="77777777" w:rsidR="00191634" w:rsidRPr="00191634" w:rsidRDefault="00191634" w:rsidP="00191634">
      <w:pPr>
        <w:pStyle w:val="Heading1"/>
      </w:pPr>
      <w:r w:rsidRPr="00191634">
        <w:t>SCHEDULE 1 - GLOUCESTERSHIRE SPECIFIC INFORMATION SHARING AGREEMENT</w:t>
      </w:r>
    </w:p>
    <w:p w14:paraId="603CEBE2" w14:textId="77777777" w:rsidR="00191634" w:rsidRPr="00191634" w:rsidRDefault="00191634" w:rsidP="00191634">
      <w:pPr>
        <w:pStyle w:val="Heading2"/>
        <w:numPr>
          <w:ilvl w:val="0"/>
          <w:numId w:val="0"/>
        </w:numPr>
        <w:ind w:left="567" w:hanging="567"/>
      </w:pPr>
      <w:r w:rsidRPr="00191634">
        <w:t>Introduction</w:t>
      </w:r>
    </w:p>
    <w:p w14:paraId="1C321FEF" w14:textId="77777777" w:rsidR="00191634" w:rsidRPr="00191634" w:rsidRDefault="00191634" w:rsidP="00191634">
      <w:r w:rsidRPr="00191634">
        <w:t xml:space="preserve">The Specific Information Sharing Agreement (SISA) is used to outline the specific requirements of the data sharing arrangements under the overarching data sharing protocol known as the Gloucestershire Information Sharing Partnership Agreement. </w:t>
      </w:r>
    </w:p>
    <w:p w14:paraId="49FFDDB4" w14:textId="77777777" w:rsidR="00191634" w:rsidRPr="00191634" w:rsidRDefault="00191634" w:rsidP="00191634">
      <w:r w:rsidRPr="00191634">
        <w:t>This Specific Information Sharing Agreement and the organisations involved will be bound to all requirements, Terms and Conditions of the overarching data sharing protocol for the duration of this agreement.</w:t>
      </w:r>
    </w:p>
    <w:p w14:paraId="77E91FF9" w14:textId="77777777" w:rsidR="00191634" w:rsidRPr="00191634" w:rsidRDefault="00191634" w:rsidP="00191634">
      <w:r w:rsidRPr="00191634">
        <w:t xml:space="preserve">All parties involved must have registered their commitment to the principles and agreed to the terms and Conditions of the overarching data sharing protocol in writing by completing the Appendix and returning it to DPO@gloucestershire.gov.uk </w:t>
      </w:r>
    </w:p>
    <w:p w14:paraId="457C8EA4" w14:textId="1224B0AA" w:rsidR="00191634" w:rsidRDefault="00191634" w:rsidP="00191634"/>
    <w:tbl>
      <w:tblPr>
        <w:tblStyle w:val="PlainTable1"/>
        <w:tblW w:w="0" w:type="auto"/>
        <w:tblLook w:val="04A0" w:firstRow="1" w:lastRow="0" w:firstColumn="1" w:lastColumn="0" w:noHBand="0" w:noVBand="1"/>
      </w:tblPr>
      <w:tblGrid>
        <w:gridCol w:w="2689"/>
        <w:gridCol w:w="3402"/>
      </w:tblGrid>
      <w:tr w:rsidR="00730076" w14:paraId="0DD421B5" w14:textId="77777777" w:rsidTr="004F72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32FC40" w14:textId="6B2AB607" w:rsidR="00730076" w:rsidRDefault="00730076" w:rsidP="00191634">
            <w:r>
              <w:t>Commencement Date:</w:t>
            </w:r>
          </w:p>
        </w:tc>
        <w:tc>
          <w:tcPr>
            <w:tcW w:w="3402" w:type="dxa"/>
          </w:tcPr>
          <w:p w14:paraId="4E041631" w14:textId="31F51267" w:rsidR="00730076" w:rsidRDefault="00730076" w:rsidP="00191634">
            <w:pPr>
              <w:cnfStyle w:val="100000000000" w:firstRow="1" w:lastRow="0" w:firstColumn="0" w:lastColumn="0" w:oddVBand="0" w:evenVBand="0" w:oddHBand="0" w:evenHBand="0" w:firstRowFirstColumn="0" w:firstRowLastColumn="0" w:lastRowFirstColumn="0" w:lastRowLastColumn="0"/>
            </w:pPr>
            <w:r>
              <w:t xml:space="preserve">End Date: </w:t>
            </w:r>
          </w:p>
        </w:tc>
      </w:tr>
      <w:tr w:rsidR="00730076" w14:paraId="6F440416" w14:textId="77777777" w:rsidTr="004F7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1DD04F" w14:textId="77777777" w:rsidR="00730076" w:rsidRDefault="00730076" w:rsidP="00191634"/>
        </w:tc>
        <w:tc>
          <w:tcPr>
            <w:tcW w:w="3402" w:type="dxa"/>
          </w:tcPr>
          <w:p w14:paraId="78CD18F9" w14:textId="77777777" w:rsidR="00730076" w:rsidRDefault="00730076" w:rsidP="00191634">
            <w:pPr>
              <w:cnfStyle w:val="000000100000" w:firstRow="0" w:lastRow="0" w:firstColumn="0" w:lastColumn="0" w:oddVBand="0" w:evenVBand="0" w:oddHBand="1" w:evenHBand="0" w:firstRowFirstColumn="0" w:firstRowLastColumn="0" w:lastRowFirstColumn="0" w:lastRowLastColumn="0"/>
            </w:pPr>
          </w:p>
        </w:tc>
      </w:tr>
    </w:tbl>
    <w:p w14:paraId="1823880C" w14:textId="5A972121" w:rsidR="00312C6C" w:rsidRPr="00191634" w:rsidRDefault="00312C6C" w:rsidP="00191634"/>
    <w:p w14:paraId="5678F4BB" w14:textId="77777777" w:rsidR="00191634" w:rsidRPr="00191634" w:rsidRDefault="00191634" w:rsidP="00191634">
      <w:pPr>
        <w:pStyle w:val="Heading2"/>
      </w:pPr>
      <w:r w:rsidRPr="00191634">
        <w:t>Parties to this Agreement</w:t>
      </w:r>
    </w:p>
    <w:p w14:paraId="79518AE3" w14:textId="77777777" w:rsidR="00191634" w:rsidRPr="00191634" w:rsidRDefault="00191634" w:rsidP="00191634">
      <w:r w:rsidRPr="00191634">
        <w:rPr>
          <w:highlight w:val="yellow"/>
        </w:rPr>
        <w:t>{Insert organisation Name}</w:t>
      </w:r>
      <w:r w:rsidRPr="00191634">
        <w:t xml:space="preserve"> whose registered office is at </w:t>
      </w:r>
      <w:r w:rsidRPr="00191634">
        <w:rPr>
          <w:highlight w:val="yellow"/>
        </w:rPr>
        <w:t>{Insert address}</w:t>
      </w:r>
      <w:r w:rsidRPr="00191634">
        <w:t xml:space="preserve"> </w:t>
      </w:r>
    </w:p>
    <w:p w14:paraId="484A2851" w14:textId="77777777" w:rsidR="00191634" w:rsidRPr="00191634" w:rsidRDefault="00191634" w:rsidP="00191634">
      <w:r w:rsidRPr="00191634">
        <w:rPr>
          <w:highlight w:val="yellow"/>
        </w:rPr>
        <w:t>{Insert organisation Name}</w:t>
      </w:r>
      <w:r w:rsidRPr="00191634">
        <w:t xml:space="preserve"> whose registered office is at </w:t>
      </w:r>
      <w:r w:rsidRPr="00191634">
        <w:rPr>
          <w:highlight w:val="yellow"/>
        </w:rPr>
        <w:t>{Insert address}</w:t>
      </w:r>
      <w:r w:rsidRPr="00191634">
        <w:t xml:space="preserve"> </w:t>
      </w:r>
    </w:p>
    <w:p w14:paraId="5FF97D05" w14:textId="77777777" w:rsidR="00191634" w:rsidRPr="00191634" w:rsidRDefault="00191634" w:rsidP="00191634">
      <w:r w:rsidRPr="00191634">
        <w:rPr>
          <w:highlight w:val="yellow"/>
        </w:rPr>
        <w:t>(add more rows as required)</w:t>
      </w:r>
    </w:p>
    <w:p w14:paraId="013E219B" w14:textId="77777777" w:rsidR="00191634" w:rsidRPr="00191634" w:rsidRDefault="00191634" w:rsidP="00191634">
      <w:r w:rsidRPr="00191634">
        <w:t>(Each one ‘a Party’ or together ‘the Parties’)</w:t>
      </w:r>
    </w:p>
    <w:p w14:paraId="479BE34B" w14:textId="77777777" w:rsidR="00191634" w:rsidRPr="00191634" w:rsidRDefault="00191634" w:rsidP="00191634">
      <w:pPr>
        <w:pStyle w:val="Heading2"/>
      </w:pPr>
      <w:bookmarkStart w:id="0" w:name="_Ref123903503"/>
      <w:r w:rsidRPr="00191634">
        <w:t>Agreed Purpose</w:t>
      </w:r>
      <w:bookmarkEnd w:id="0"/>
    </w:p>
    <w:p w14:paraId="426B7FA0" w14:textId="77777777" w:rsidR="00191634" w:rsidRPr="00191634" w:rsidRDefault="00191634" w:rsidP="00191634">
      <w:pPr>
        <w:pStyle w:val="Clause"/>
      </w:pPr>
      <w:r w:rsidRPr="00191634">
        <w:t>This Specific Information Sharing Agreement (SISA) sets out the details for the sharing of Personal Data when one Controller (Data Discloser) discloses Personal Data to another Controller (the Data Receiver). This is used in conjunction with the overarching data sharing protocol (GISPA) that defines the principles and procedures that the Parties shall adhere to and the responsibilities the parties owe to each other.</w:t>
      </w:r>
    </w:p>
    <w:p w14:paraId="310BF817" w14:textId="52FDD500" w:rsidR="00191634" w:rsidRPr="00191634" w:rsidRDefault="00191634" w:rsidP="00191634">
      <w:pPr>
        <w:pStyle w:val="Clause"/>
      </w:pPr>
      <w:bookmarkStart w:id="1" w:name="_Ref123902363"/>
      <w:r w:rsidRPr="00191634">
        <w:t xml:space="preserve">The Parties consider this data sharing necessary to fulfil their responsibilities to </w:t>
      </w:r>
      <w:r w:rsidRPr="00191634">
        <w:rPr>
          <w:highlight w:val="yellow"/>
        </w:rPr>
        <w:t>{</w:t>
      </w:r>
      <w:r w:rsidR="007C4C0B">
        <w:rPr>
          <w:highlight w:val="yellow"/>
        </w:rPr>
        <w:t>project name/appropriate guidance or legislation</w:t>
      </w:r>
      <w:r w:rsidRPr="00191634">
        <w:rPr>
          <w:highlight w:val="yellow"/>
        </w:rPr>
        <w:t>}</w:t>
      </w:r>
      <w:bookmarkEnd w:id="1"/>
    </w:p>
    <w:p w14:paraId="33395177" w14:textId="624848D2" w:rsidR="00191634" w:rsidRPr="00191634" w:rsidRDefault="00191634" w:rsidP="00191634">
      <w:pPr>
        <w:pStyle w:val="Clause"/>
      </w:pPr>
      <w:bookmarkStart w:id="2" w:name="_Ref123902270"/>
      <w:r w:rsidRPr="00191634">
        <w:t xml:space="preserve">The Parties agree to only Process Shared Personal Data, as described in clause </w:t>
      </w:r>
      <w:r w:rsidR="0037377B">
        <w:fldChar w:fldCharType="begin"/>
      </w:r>
      <w:r w:rsidR="0037377B">
        <w:instrText xml:space="preserve"> REF _Ref123902190 \r \h </w:instrText>
      </w:r>
      <w:r w:rsidR="0037377B">
        <w:fldChar w:fldCharType="separate"/>
      </w:r>
      <w:r w:rsidR="0023173A">
        <w:t>3.1</w:t>
      </w:r>
      <w:r w:rsidR="0037377B">
        <w:fldChar w:fldCharType="end"/>
      </w:r>
      <w:r w:rsidRPr="00191634">
        <w:t xml:space="preserve">, clause </w:t>
      </w:r>
      <w:r w:rsidR="0037377B">
        <w:fldChar w:fldCharType="begin"/>
      </w:r>
      <w:r w:rsidR="0037377B">
        <w:instrText xml:space="preserve"> REF _Ref123902205 \r \h </w:instrText>
      </w:r>
      <w:r w:rsidR="0037377B">
        <w:fldChar w:fldCharType="separate"/>
      </w:r>
      <w:r w:rsidR="0023173A">
        <w:t>3.2</w:t>
      </w:r>
      <w:r w:rsidR="0037377B">
        <w:fldChar w:fldCharType="end"/>
      </w:r>
      <w:r w:rsidRPr="00191634">
        <w:t xml:space="preserve"> and the Appendix for the following purposes:</w:t>
      </w:r>
      <w:bookmarkEnd w:id="2"/>
    </w:p>
    <w:p w14:paraId="38F7042B" w14:textId="42EC3486" w:rsidR="00191634" w:rsidRPr="00191634" w:rsidRDefault="00191634" w:rsidP="00191634">
      <w:pPr>
        <w:pStyle w:val="Bullets"/>
        <w:rPr>
          <w:highlight w:val="yellow"/>
        </w:rPr>
      </w:pPr>
      <w:r w:rsidRPr="00191634">
        <w:rPr>
          <w:highlight w:val="yellow"/>
        </w:rPr>
        <w:t>(Insert purposes</w:t>
      </w:r>
      <w:r w:rsidR="00CD356D">
        <w:rPr>
          <w:highlight w:val="yellow"/>
        </w:rPr>
        <w:t xml:space="preserve"> – this should include any processing activities undertaken by Processor(s)</w:t>
      </w:r>
      <w:r w:rsidRPr="00191634">
        <w:rPr>
          <w:highlight w:val="yellow"/>
        </w:rPr>
        <w:t>)</w:t>
      </w:r>
    </w:p>
    <w:p w14:paraId="7767B976" w14:textId="69482F74" w:rsidR="00191634" w:rsidRPr="00191634" w:rsidRDefault="00191634" w:rsidP="00191634">
      <w:pPr>
        <w:pStyle w:val="Clause"/>
      </w:pPr>
      <w:r w:rsidRPr="00191634">
        <w:t xml:space="preserve">The Parties shall not Process Shared Personal Data in a way that is incompatible with the purposes described in this clause </w:t>
      </w:r>
      <w:r w:rsidR="0037377B">
        <w:fldChar w:fldCharType="begin"/>
      </w:r>
      <w:r w:rsidR="0037377B">
        <w:instrText xml:space="preserve"> REF _Ref123903503 \r \h </w:instrText>
      </w:r>
      <w:r w:rsidR="0037377B">
        <w:fldChar w:fldCharType="separate"/>
      </w:r>
      <w:r w:rsidR="0023173A">
        <w:t>2</w:t>
      </w:r>
      <w:r w:rsidR="0037377B">
        <w:fldChar w:fldCharType="end"/>
      </w:r>
      <w:r w:rsidRPr="00191634">
        <w:t xml:space="preserve"> (</w:t>
      </w:r>
      <w:r w:rsidRPr="00191634">
        <w:rPr>
          <w:b/>
        </w:rPr>
        <w:t>Agreed Purpose</w:t>
      </w:r>
      <w:r w:rsidRPr="00191634">
        <w:t>). Where shared Personal Data has been de-identified or pseudonymised the Parties shall not attempt to re-identify individuals or undo or reverse any pseudonymisation.</w:t>
      </w:r>
    </w:p>
    <w:p w14:paraId="6142EDE2" w14:textId="77777777" w:rsidR="00191634" w:rsidRPr="00191634" w:rsidRDefault="00191634" w:rsidP="00191634">
      <w:pPr>
        <w:pStyle w:val="Clause"/>
      </w:pPr>
      <w:r w:rsidRPr="00191634">
        <w:lastRenderedPageBreak/>
        <w:t>It may in some circumstances occur that the Data Receiver transfers its Personal Data to the Data Discloser in which case the terms of this Agreement shall apply as if, in relation to such Personal Data, the Data Receiver were the data discloser, and the Data Discloser were the data receiver.</w:t>
      </w:r>
    </w:p>
    <w:p w14:paraId="5FACE76B" w14:textId="77777777" w:rsidR="00191634" w:rsidRPr="00191634" w:rsidRDefault="00191634" w:rsidP="00191634">
      <w:pPr>
        <w:pStyle w:val="Heading2"/>
      </w:pPr>
      <w:r w:rsidRPr="00191634">
        <w:t>Shared Personal Data</w:t>
      </w:r>
    </w:p>
    <w:p w14:paraId="0736D86E" w14:textId="77777777" w:rsidR="00191634" w:rsidRPr="00191634" w:rsidRDefault="00191634" w:rsidP="00191634">
      <w:pPr>
        <w:pStyle w:val="Clause"/>
      </w:pPr>
      <w:bookmarkStart w:id="3" w:name="_Ref123902190"/>
      <w:r w:rsidRPr="00191634">
        <w:t>The following types of Personal Data will be shared between the Parties during the Term of this Agreement:</w:t>
      </w:r>
      <w:bookmarkEnd w:id="3"/>
    </w:p>
    <w:p w14:paraId="5E199E4B" w14:textId="77777777" w:rsidR="00191634" w:rsidRPr="00191634" w:rsidRDefault="00191634" w:rsidP="00191634">
      <w:pPr>
        <w:pStyle w:val="Bullets"/>
        <w:rPr>
          <w:b/>
          <w:bCs/>
          <w:highlight w:val="yellow"/>
        </w:rPr>
      </w:pPr>
      <w:r w:rsidRPr="00191634">
        <w:rPr>
          <w:b/>
          <w:bCs/>
          <w:highlight w:val="yellow"/>
        </w:rPr>
        <w:t>[Insert personal data]</w:t>
      </w:r>
    </w:p>
    <w:p w14:paraId="17DA9524" w14:textId="77777777" w:rsidR="00191634" w:rsidRPr="00191634" w:rsidRDefault="00191634" w:rsidP="00191634">
      <w:pPr>
        <w:pStyle w:val="Clause"/>
      </w:pPr>
      <w:bookmarkStart w:id="4" w:name="_Ref123902205"/>
      <w:r w:rsidRPr="00191634">
        <w:t>The following types of Special Categories of Personal Data will be shared between the Parties during the Term of this agreement:</w:t>
      </w:r>
      <w:bookmarkEnd w:id="4"/>
    </w:p>
    <w:p w14:paraId="37983D27" w14:textId="77777777" w:rsidR="00191634" w:rsidRPr="00191634" w:rsidRDefault="00191634" w:rsidP="00191634">
      <w:pPr>
        <w:pStyle w:val="Bullets"/>
        <w:rPr>
          <w:b/>
          <w:bCs/>
          <w:highlight w:val="yellow"/>
        </w:rPr>
      </w:pPr>
      <w:r w:rsidRPr="00191634">
        <w:rPr>
          <w:b/>
          <w:bCs/>
          <w:highlight w:val="yellow"/>
        </w:rPr>
        <w:t>[Insert special category data]</w:t>
      </w:r>
    </w:p>
    <w:p w14:paraId="666EC80C" w14:textId="1B93763B" w:rsidR="00191634" w:rsidRPr="00191634" w:rsidRDefault="00191634" w:rsidP="00191634">
      <w:pPr>
        <w:pStyle w:val="Clause"/>
      </w:pPr>
      <w:r w:rsidRPr="00191634">
        <w:t>Further detail on the Shared Personal Data as described in clause</w:t>
      </w:r>
      <w:r w:rsidR="0023173A">
        <w:t xml:space="preserve"> </w:t>
      </w:r>
      <w:r w:rsidR="0023173A">
        <w:fldChar w:fldCharType="begin"/>
      </w:r>
      <w:r w:rsidR="0023173A">
        <w:instrText xml:space="preserve"> REF _Ref123902190 \r \h </w:instrText>
      </w:r>
      <w:r w:rsidR="0023173A">
        <w:fldChar w:fldCharType="separate"/>
      </w:r>
      <w:r w:rsidR="0023173A">
        <w:t>3.1</w:t>
      </w:r>
      <w:r w:rsidR="0023173A">
        <w:fldChar w:fldCharType="end"/>
      </w:r>
      <w:r w:rsidRPr="00191634">
        <w:t xml:space="preserve">, and clause </w:t>
      </w:r>
      <w:r w:rsidR="0023173A">
        <w:fldChar w:fldCharType="begin"/>
      </w:r>
      <w:r w:rsidR="0023173A">
        <w:instrText xml:space="preserve"> REF _Ref123902205 \r \h </w:instrText>
      </w:r>
      <w:r w:rsidR="0023173A">
        <w:fldChar w:fldCharType="separate"/>
      </w:r>
      <w:r w:rsidR="0023173A">
        <w:t>3.2</w:t>
      </w:r>
      <w:r w:rsidR="0023173A">
        <w:fldChar w:fldCharType="end"/>
      </w:r>
      <w:r w:rsidR="0023173A">
        <w:t xml:space="preserve">, </w:t>
      </w:r>
      <w:r w:rsidRPr="00191634">
        <w:t>is set out in the Appendix together with any access and processing restrictions as agreed and established by the Parties.</w:t>
      </w:r>
    </w:p>
    <w:p w14:paraId="42FD6E1E" w14:textId="77777777" w:rsidR="00191634" w:rsidRPr="00191634" w:rsidRDefault="00191634" w:rsidP="00191634">
      <w:pPr>
        <w:pStyle w:val="Clause"/>
      </w:pPr>
      <w:r w:rsidRPr="00191634">
        <w:t xml:space="preserve">The Shared Personal Data must not be irrelevant or excessive </w:t>
      </w:r>
      <w:proofErr w:type="gramStart"/>
      <w:r w:rsidRPr="00191634">
        <w:t>with regard to</w:t>
      </w:r>
      <w:proofErr w:type="gramEnd"/>
      <w:r w:rsidRPr="00191634">
        <w:t xml:space="preserve"> the Agreed Purposes.</w:t>
      </w:r>
    </w:p>
    <w:p w14:paraId="0F76551C" w14:textId="22B0F6FE" w:rsidR="00191634" w:rsidRPr="00191634" w:rsidRDefault="00191634" w:rsidP="00191634">
      <w:pPr>
        <w:pStyle w:val="Heading2"/>
      </w:pPr>
      <w:r w:rsidRPr="00191634">
        <w:t>Lawfulness</w:t>
      </w:r>
      <w:r w:rsidR="001A60E4">
        <w:t xml:space="preserve"> and Transparency</w:t>
      </w:r>
      <w:r w:rsidRPr="00191634">
        <w:t xml:space="preserve"> of Processing</w:t>
      </w:r>
    </w:p>
    <w:p w14:paraId="49ABCF57" w14:textId="7C94D6F3" w:rsidR="00191634" w:rsidRPr="00191634" w:rsidRDefault="00191634" w:rsidP="00191634">
      <w:pPr>
        <w:pStyle w:val="Clause"/>
      </w:pPr>
      <w:bookmarkStart w:id="5" w:name="_Ref123902235"/>
      <w:r w:rsidRPr="00191634">
        <w:t xml:space="preserve">Each Party shall ensure that it processes the Shared Personal Data fairly, </w:t>
      </w:r>
      <w:r w:rsidR="00FB40F3" w:rsidRPr="00191634">
        <w:t>transparently,</w:t>
      </w:r>
      <w:r w:rsidRPr="00191634">
        <w:t xml:space="preserve"> and lawfully during the Term of this Agreement</w:t>
      </w:r>
      <w:bookmarkEnd w:id="5"/>
    </w:p>
    <w:p w14:paraId="5F3E10F9" w14:textId="77777777" w:rsidR="00191634" w:rsidRPr="00191634" w:rsidRDefault="00191634" w:rsidP="00191634">
      <w:pPr>
        <w:pStyle w:val="Clause"/>
      </w:pPr>
      <w:r w:rsidRPr="00191634">
        <w:t>Each Party agrees that the legitimate grounds under the Data Protection Legislation for the processing of Shared Personal Data are:</w:t>
      </w:r>
    </w:p>
    <w:p w14:paraId="6B1E0E86" w14:textId="77777777" w:rsidR="00191634" w:rsidRPr="00191634" w:rsidRDefault="00191634" w:rsidP="00191634">
      <w:pPr>
        <w:pStyle w:val="Sub-clause"/>
      </w:pPr>
      <w:r w:rsidRPr="00191634">
        <w:t xml:space="preserve">Article 6 – Processing of Personal Data </w:t>
      </w:r>
      <w:r w:rsidRPr="00191634">
        <w:rPr>
          <w:b/>
          <w:highlight w:val="yellow"/>
        </w:rPr>
        <w:t>[Delete as appropriate]</w:t>
      </w:r>
    </w:p>
    <w:p w14:paraId="7B20245C" w14:textId="77777777" w:rsidR="00191634" w:rsidRPr="00191634" w:rsidRDefault="00191634" w:rsidP="00191634">
      <w:pPr>
        <w:pStyle w:val="Bullets"/>
      </w:pPr>
      <w:r w:rsidRPr="00191634">
        <w:t>the Data Subject has given consent to the processing of their Personal Data</w:t>
      </w:r>
    </w:p>
    <w:p w14:paraId="1B1FDD07" w14:textId="77777777" w:rsidR="00191634" w:rsidRPr="00191634" w:rsidRDefault="00191634" w:rsidP="00191634">
      <w:pPr>
        <w:pStyle w:val="Bullets"/>
      </w:pPr>
      <w:r w:rsidRPr="00191634">
        <w:t xml:space="preserve">processing is necessary for the performance of a contract to which the Data Subject is party or in order to take steps at the request of the Data Subject prior to entering into a </w:t>
      </w:r>
      <w:proofErr w:type="gramStart"/>
      <w:r w:rsidRPr="00191634">
        <w:t>contract;</w:t>
      </w:r>
      <w:proofErr w:type="gramEnd"/>
    </w:p>
    <w:p w14:paraId="306F15E8" w14:textId="77777777" w:rsidR="00191634" w:rsidRPr="00191634" w:rsidRDefault="00191634" w:rsidP="00191634">
      <w:pPr>
        <w:pStyle w:val="Bullets"/>
      </w:pPr>
      <w:r w:rsidRPr="00191634">
        <w:t xml:space="preserve">processing is necessary for compliance with a legal obligation to which the Controller is </w:t>
      </w:r>
      <w:proofErr w:type="gramStart"/>
      <w:r w:rsidRPr="00191634">
        <w:t>subject;</w:t>
      </w:r>
      <w:proofErr w:type="gramEnd"/>
    </w:p>
    <w:p w14:paraId="30A8403F" w14:textId="77777777" w:rsidR="00191634" w:rsidRPr="00191634" w:rsidRDefault="00191634" w:rsidP="00191634">
      <w:pPr>
        <w:pStyle w:val="Bullets"/>
      </w:pPr>
      <w:r w:rsidRPr="00191634">
        <w:t xml:space="preserve">processing is necessary in order to protect the vital interests of the Data Subject or of another natural </w:t>
      </w:r>
      <w:proofErr w:type="gramStart"/>
      <w:r w:rsidRPr="00191634">
        <w:t>person;</w:t>
      </w:r>
      <w:proofErr w:type="gramEnd"/>
    </w:p>
    <w:p w14:paraId="41B577FE" w14:textId="77777777" w:rsidR="00191634" w:rsidRPr="00191634" w:rsidRDefault="00191634" w:rsidP="00191634">
      <w:pPr>
        <w:pStyle w:val="Bullets"/>
      </w:pPr>
      <w:r w:rsidRPr="00191634">
        <w:t>processing is necessary for the performance of a task carried out in the public interest or in the exercise of official authority vested in the Controller</w:t>
      </w:r>
    </w:p>
    <w:p w14:paraId="69C93392" w14:textId="77777777" w:rsidR="00191634" w:rsidRPr="00191634" w:rsidRDefault="00191634" w:rsidP="00191634">
      <w:pPr>
        <w:pStyle w:val="Bullets"/>
      </w:pPr>
      <w:r w:rsidRPr="00191634">
        <w:t xml:space="preserve">processing is necessary for the purposes of the legitimate interests pursued by the Controller or by a third party, except where such interests are overridden by the interests or fundamental rights and freedoms of the Data Subject which require protection of Personal Data, </w:t>
      </w:r>
      <w:proofErr w:type="gramStart"/>
      <w:r w:rsidRPr="00191634">
        <w:t>in particular where</w:t>
      </w:r>
      <w:proofErr w:type="gramEnd"/>
      <w:r w:rsidRPr="00191634">
        <w:t xml:space="preserve"> the Data Subject is a child</w:t>
      </w:r>
    </w:p>
    <w:p w14:paraId="66CC623F" w14:textId="77777777" w:rsidR="00191634" w:rsidRPr="00191634" w:rsidRDefault="00191634" w:rsidP="00191634">
      <w:pPr>
        <w:pStyle w:val="Sub-clause"/>
      </w:pPr>
      <w:r w:rsidRPr="00191634">
        <w:t xml:space="preserve">Article 9 – Processing of Special Category Data </w:t>
      </w:r>
      <w:r w:rsidRPr="00191634">
        <w:rPr>
          <w:b/>
          <w:highlight w:val="yellow"/>
        </w:rPr>
        <w:t>[Delete as appropriate]</w:t>
      </w:r>
    </w:p>
    <w:p w14:paraId="49E1EE8B" w14:textId="77777777" w:rsidR="00191634" w:rsidRPr="00191634" w:rsidRDefault="00191634" w:rsidP="00191634">
      <w:pPr>
        <w:pStyle w:val="Bullets"/>
      </w:pPr>
      <w:r w:rsidRPr="00191634">
        <w:t xml:space="preserve">the Data Subject has given explicit consent </w:t>
      </w:r>
    </w:p>
    <w:p w14:paraId="7B89144C" w14:textId="3C79CAF6" w:rsidR="00191634" w:rsidRPr="00191634" w:rsidRDefault="00191634" w:rsidP="00191634">
      <w:pPr>
        <w:pStyle w:val="Bullets"/>
      </w:pPr>
      <w:r>
        <w:lastRenderedPageBreak/>
        <w:t>p</w:t>
      </w:r>
      <w:r w:rsidRPr="00191634">
        <w:t xml:space="preserve">rocessing is necessary for the purposes of carrying out the obligations and exercising specific rights of the Controller or of the Data Subject in the field of employment and social security and social protection law in so far as it is authorised by UK law </w:t>
      </w:r>
    </w:p>
    <w:p w14:paraId="54DCA497" w14:textId="7810036F" w:rsidR="00191634" w:rsidRPr="00191634" w:rsidRDefault="00191634" w:rsidP="00191634">
      <w:pPr>
        <w:pStyle w:val="Bullets"/>
      </w:pPr>
      <w:r>
        <w:t>p</w:t>
      </w:r>
      <w:r w:rsidRPr="00191634">
        <w:t xml:space="preserve">rocessing is necessary to protect the vital interests of the Data Subject or of another natural person where the Data Subject is physically or legally incapable of giving </w:t>
      </w:r>
      <w:proofErr w:type="gramStart"/>
      <w:r w:rsidRPr="00191634">
        <w:t>consent;</w:t>
      </w:r>
      <w:proofErr w:type="gramEnd"/>
    </w:p>
    <w:p w14:paraId="2FA30DCC" w14:textId="2C223F97" w:rsidR="00191634" w:rsidRPr="00191634" w:rsidRDefault="00191634" w:rsidP="00191634">
      <w:pPr>
        <w:pStyle w:val="Bullets"/>
      </w:pPr>
      <w:r>
        <w:t>p</w:t>
      </w:r>
      <w:r w:rsidRPr="00191634">
        <w:t>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p w14:paraId="1D5515E4" w14:textId="2A6AF466" w:rsidR="00191634" w:rsidRPr="00191634" w:rsidRDefault="00191634" w:rsidP="00191634">
      <w:pPr>
        <w:pStyle w:val="Bullets"/>
      </w:pPr>
      <w:r>
        <w:t>p</w:t>
      </w:r>
      <w:r w:rsidRPr="00191634">
        <w:t xml:space="preserve">rocessing relates to Personal Data which are manifestly made public by the Data </w:t>
      </w:r>
      <w:proofErr w:type="gramStart"/>
      <w:r w:rsidRPr="00191634">
        <w:t>Subject;</w:t>
      </w:r>
      <w:proofErr w:type="gramEnd"/>
    </w:p>
    <w:p w14:paraId="643589F1" w14:textId="70A27B98" w:rsidR="00191634" w:rsidRPr="00191634" w:rsidRDefault="00191634" w:rsidP="00191634">
      <w:pPr>
        <w:pStyle w:val="Bullets"/>
      </w:pPr>
      <w:r>
        <w:t>p</w:t>
      </w:r>
      <w:r w:rsidRPr="00191634">
        <w:t xml:space="preserve">rocessing is necessary for the establishment, exercise or defence of legal claims or whenever courts are acting in their judicial </w:t>
      </w:r>
      <w:proofErr w:type="gramStart"/>
      <w:r w:rsidRPr="00191634">
        <w:t>capacity;</w:t>
      </w:r>
      <w:proofErr w:type="gramEnd"/>
    </w:p>
    <w:p w14:paraId="74F9D2A4" w14:textId="77777777" w:rsidR="00191634" w:rsidRPr="00191634" w:rsidRDefault="00191634" w:rsidP="00191634">
      <w:pPr>
        <w:pStyle w:val="Bullets"/>
      </w:pPr>
      <w:r w:rsidRPr="00191634">
        <w:t>Processing is necessary for reasons of substantial public interest</w:t>
      </w:r>
    </w:p>
    <w:p w14:paraId="2F12D397" w14:textId="6F7B0564" w:rsidR="00191634" w:rsidRPr="00191634" w:rsidRDefault="00191634" w:rsidP="00191634">
      <w:pPr>
        <w:pStyle w:val="Bullets"/>
      </w:pPr>
      <w:r>
        <w:t>p</w:t>
      </w:r>
      <w:r w:rsidRPr="00191634">
        <w:t xml:space="preserve">rocessing is necessary for the purposes of preventive or occupational medicine, for the assessment of the working capacity of the employee, medical diagnosis, the provision of health or social care or treatment or the management of health or social care systems and services </w:t>
      </w:r>
    </w:p>
    <w:p w14:paraId="004C24FF" w14:textId="2EC565B5" w:rsidR="00191634" w:rsidRPr="00191634" w:rsidRDefault="00191634" w:rsidP="00191634">
      <w:pPr>
        <w:pStyle w:val="Bullets"/>
      </w:pPr>
      <w:r>
        <w:t>p</w:t>
      </w:r>
      <w:r w:rsidRPr="00191634">
        <w:t xml:space="preserve">rocessing is necessary for reasons of public interest </w:t>
      </w:r>
      <w:proofErr w:type="gramStart"/>
      <w:r w:rsidRPr="00191634">
        <w:t>in the area of</w:t>
      </w:r>
      <w:proofErr w:type="gramEnd"/>
      <w:r w:rsidRPr="00191634">
        <w:t xml:space="preserve"> public health, such as protecting against serious cross-border threats to health or ensuring high standards of quality and safety of health care and of medicinal products or medical devices, </w:t>
      </w:r>
    </w:p>
    <w:p w14:paraId="0433F5A6" w14:textId="52516D9D" w:rsidR="00191634" w:rsidRPr="00191634" w:rsidRDefault="00191634" w:rsidP="00191634">
      <w:pPr>
        <w:pStyle w:val="Bullets"/>
      </w:pPr>
      <w:r>
        <w:t>p</w:t>
      </w:r>
      <w:r w:rsidRPr="00191634">
        <w:t xml:space="preserve">rocessing is necessary for archiving purposes in the public interest, scientific or historical research purposes or statistical purposes in accordance with </w:t>
      </w:r>
      <w:hyperlink r:id="rId12" w:history="1">
        <w:r w:rsidRPr="00191634">
          <w:rPr>
            <w:rStyle w:val="Hyperlink"/>
          </w:rPr>
          <w:t>Article 89</w:t>
        </w:r>
      </w:hyperlink>
      <w:r w:rsidRPr="00191634">
        <w:t xml:space="preserve">(1) </w:t>
      </w:r>
    </w:p>
    <w:p w14:paraId="58639ED2" w14:textId="497140AC" w:rsidR="00191634" w:rsidRPr="00191634" w:rsidRDefault="00191634" w:rsidP="00191634">
      <w:pPr>
        <w:pStyle w:val="Sub-clause"/>
      </w:pPr>
      <w:r w:rsidRPr="00191634">
        <w:t>Article 10 Processing of Pers</w:t>
      </w:r>
      <w:r w:rsidRPr="00355613">
        <w:t xml:space="preserve">onal Data relating to criminal convictions and offences </w:t>
      </w:r>
      <w:r w:rsidRPr="00355613">
        <w:rPr>
          <w:b/>
          <w:highlight w:val="yellow"/>
        </w:rPr>
        <w:t>[</w:t>
      </w:r>
      <w:r w:rsidR="00B07505">
        <w:rPr>
          <w:b/>
          <w:highlight w:val="yellow"/>
        </w:rPr>
        <w:t xml:space="preserve">If no Criminal Conviction Data - </w:t>
      </w:r>
      <w:r w:rsidR="00401C55">
        <w:rPr>
          <w:b/>
          <w:highlight w:val="yellow"/>
        </w:rPr>
        <w:t xml:space="preserve">Delete </w:t>
      </w:r>
      <w:r w:rsidRPr="00355613">
        <w:rPr>
          <w:b/>
          <w:highlight w:val="yellow"/>
        </w:rPr>
        <w:t>as appropriate]</w:t>
      </w:r>
      <w:r w:rsidR="00355613">
        <w:rPr>
          <w:b/>
        </w:rPr>
        <w:t xml:space="preserve"> </w:t>
      </w:r>
    </w:p>
    <w:p w14:paraId="00D0CB60" w14:textId="4495C8B3" w:rsidR="00191634" w:rsidRPr="00191634" w:rsidRDefault="00191634" w:rsidP="00191634">
      <w:pPr>
        <w:pStyle w:val="Bullets"/>
      </w:pPr>
      <w:r w:rsidRPr="00191634">
        <w:t xml:space="preserve">processing shall be carried out under the control of Official Authority or when the processing is authorised by UK law and the appropriate safeguards are in place. (See Schedule 1 DPA) </w:t>
      </w:r>
    </w:p>
    <w:p w14:paraId="6516D07A" w14:textId="77777777" w:rsidR="00191634" w:rsidRPr="00191634" w:rsidRDefault="00191634" w:rsidP="00355613">
      <w:pPr>
        <w:pStyle w:val="Sub-clause"/>
      </w:pPr>
      <w:r w:rsidRPr="00191634">
        <w:t xml:space="preserve">Data Protection Act 2018 - Schedule 1 DPA conditions </w:t>
      </w:r>
      <w:r w:rsidRPr="00355613">
        <w:rPr>
          <w:b/>
          <w:bCs/>
          <w:highlight w:val="yellow"/>
        </w:rPr>
        <w:t>[Please note: if you are processing Special Category Information or criminal convictions or offence personal data you will need to identify the appropriate condition in Schedule 1 DPA 18 that allows you to do this. Please include all relevant conditions here]</w:t>
      </w:r>
    </w:p>
    <w:p w14:paraId="3748D7C6" w14:textId="77777777" w:rsidR="00191634" w:rsidRPr="00355613" w:rsidRDefault="00191634" w:rsidP="00355613">
      <w:pPr>
        <w:pStyle w:val="Bullets"/>
        <w:rPr>
          <w:highlight w:val="yellow"/>
        </w:rPr>
      </w:pPr>
      <w:r w:rsidRPr="00355613">
        <w:rPr>
          <w:highlight w:val="yellow"/>
        </w:rPr>
        <w:t>[Enter Conditions here]</w:t>
      </w:r>
    </w:p>
    <w:p w14:paraId="008AAB1D" w14:textId="124CC92A" w:rsidR="00191634" w:rsidRPr="00191634" w:rsidRDefault="00191634" w:rsidP="00355613">
      <w:pPr>
        <w:pStyle w:val="Sub-clause"/>
      </w:pPr>
      <w:r w:rsidRPr="00191634">
        <w:t xml:space="preserve">Data protection Act 2018, Exemptions from the UK GDPR - Schedule 2,3,4 </w:t>
      </w:r>
      <w:r w:rsidRPr="00355613">
        <w:rPr>
          <w:b/>
          <w:bCs/>
          <w:highlight w:val="yellow"/>
        </w:rPr>
        <w:t xml:space="preserve">[Please note: if you wish to apply exemptions to the processing under the Data </w:t>
      </w:r>
      <w:r w:rsidRPr="00355613">
        <w:rPr>
          <w:b/>
          <w:bCs/>
          <w:highlight w:val="yellow"/>
        </w:rPr>
        <w:lastRenderedPageBreak/>
        <w:t>Protection Act 2018. Please include all relevant details here otherwise please delete this section</w:t>
      </w:r>
      <w:r w:rsidR="00F75A28">
        <w:rPr>
          <w:b/>
          <w:bCs/>
          <w:highlight w:val="yellow"/>
        </w:rPr>
        <w:t xml:space="preserve"> – Delete as appropriate</w:t>
      </w:r>
      <w:r w:rsidRPr="00355613">
        <w:rPr>
          <w:b/>
          <w:bCs/>
          <w:highlight w:val="yellow"/>
        </w:rPr>
        <w:t>]</w:t>
      </w:r>
    </w:p>
    <w:p w14:paraId="62D32564" w14:textId="77777777" w:rsidR="00191634" w:rsidRPr="00355613" w:rsidRDefault="00191634" w:rsidP="00355613">
      <w:pPr>
        <w:pStyle w:val="Bullets"/>
        <w:rPr>
          <w:highlight w:val="yellow"/>
        </w:rPr>
      </w:pPr>
      <w:r w:rsidRPr="00355613">
        <w:rPr>
          <w:highlight w:val="yellow"/>
        </w:rPr>
        <w:t>[Enter Exemptions here]</w:t>
      </w:r>
    </w:p>
    <w:p w14:paraId="594E4D76" w14:textId="77777777" w:rsidR="00191634" w:rsidRPr="00191634" w:rsidRDefault="00191634" w:rsidP="00355613">
      <w:pPr>
        <w:pStyle w:val="Sub-clause"/>
      </w:pPr>
      <w:r w:rsidRPr="00191634">
        <w:t xml:space="preserve">The NHS National Data Opt-Out </w:t>
      </w:r>
      <w:r w:rsidRPr="00355613">
        <w:rPr>
          <w:highlight w:val="yellow"/>
        </w:rPr>
        <w:t>does / does not</w:t>
      </w:r>
      <w:r w:rsidRPr="00191634">
        <w:t xml:space="preserve"> apply to the agreed sharing of data </w:t>
      </w:r>
      <w:r w:rsidRPr="00355613">
        <w:rPr>
          <w:b/>
          <w:highlight w:val="yellow"/>
        </w:rPr>
        <w:t>[Delete as appropriate]</w:t>
      </w:r>
    </w:p>
    <w:p w14:paraId="2BFE8EE5" w14:textId="613F13A8" w:rsidR="00191634" w:rsidRPr="00191634" w:rsidRDefault="00191634" w:rsidP="00355613">
      <w:pPr>
        <w:pStyle w:val="Sub-clause"/>
      </w:pPr>
      <w:r w:rsidRPr="00191634">
        <w:t xml:space="preserve">Law Enforcement Processing - Part 3 DPA 2018 </w:t>
      </w:r>
      <w:r w:rsidR="00D41BAB" w:rsidRPr="004F7230">
        <w:rPr>
          <w:b/>
          <w:bCs/>
          <w:highlight w:val="yellow"/>
        </w:rPr>
        <w:t>[Delete as appropriate]</w:t>
      </w:r>
    </w:p>
    <w:p w14:paraId="5FBCB7AA" w14:textId="77777777" w:rsidR="00191634" w:rsidRDefault="00191634" w:rsidP="00355613">
      <w:pPr>
        <w:pStyle w:val="Bullets"/>
        <w:rPr>
          <w:highlight w:val="yellow"/>
        </w:rPr>
      </w:pPr>
      <w:r w:rsidRPr="00355613">
        <w:rPr>
          <w:highlight w:val="yellow"/>
        </w:rPr>
        <w:t xml:space="preserve">[Please state which party to the agreement is a Competent Authority under Part 3 DPA 2018 and is processing the Shared Personal Data under Part 3.] </w:t>
      </w:r>
    </w:p>
    <w:p w14:paraId="2349C64C" w14:textId="6B7AF459" w:rsidR="007B73C9" w:rsidRDefault="00597718" w:rsidP="007B73C9">
      <w:pPr>
        <w:pStyle w:val="Sub-clause"/>
        <w:rPr>
          <w:highlight w:val="yellow"/>
        </w:rPr>
      </w:pPr>
      <w:r w:rsidRPr="004F7230">
        <w:t>Compliance with Common Law Duty of Confidentiality</w:t>
      </w:r>
      <w:r w:rsidR="00D67E23" w:rsidRPr="004F7230">
        <w:t xml:space="preserve"> </w:t>
      </w:r>
      <w:r w:rsidR="00EE0287" w:rsidRPr="004F7230">
        <w:rPr>
          <w:b/>
          <w:bCs/>
          <w:highlight w:val="yellow"/>
        </w:rPr>
        <w:t>[Delete as appropriate]</w:t>
      </w:r>
    </w:p>
    <w:p w14:paraId="74692122" w14:textId="77777777" w:rsidR="000C2730" w:rsidRDefault="00D67E23" w:rsidP="00D67E23">
      <w:pPr>
        <w:pStyle w:val="Bullets"/>
        <w:rPr>
          <w:highlight w:val="yellow"/>
        </w:rPr>
      </w:pPr>
      <w:r>
        <w:rPr>
          <w:highlight w:val="yellow"/>
        </w:rPr>
        <w:t xml:space="preserve">Consent [please also explain if this is </w:t>
      </w:r>
      <w:r w:rsidR="000C2730">
        <w:rPr>
          <w:highlight w:val="yellow"/>
        </w:rPr>
        <w:t>implied or explicit]</w:t>
      </w:r>
    </w:p>
    <w:p w14:paraId="78D53031" w14:textId="77777777" w:rsidR="00C8103D" w:rsidRDefault="000C2730" w:rsidP="00D67E23">
      <w:pPr>
        <w:pStyle w:val="Bullets"/>
        <w:rPr>
          <w:highlight w:val="yellow"/>
        </w:rPr>
      </w:pPr>
      <w:r>
        <w:rPr>
          <w:highlight w:val="yellow"/>
        </w:rPr>
        <w:t xml:space="preserve">Statutory Gateway [please explain which Statutory Gateway is being used and </w:t>
      </w:r>
      <w:r w:rsidR="00C8103D">
        <w:rPr>
          <w:highlight w:val="yellow"/>
        </w:rPr>
        <w:t>how this sets aside the Common Law Duty of Confidentiality]</w:t>
      </w:r>
    </w:p>
    <w:p w14:paraId="2FFBF483" w14:textId="57EA144B" w:rsidR="00207875" w:rsidRDefault="00C8103D" w:rsidP="00207875">
      <w:pPr>
        <w:pStyle w:val="Sub-clause"/>
        <w:rPr>
          <w:highlight w:val="yellow"/>
        </w:rPr>
      </w:pPr>
      <w:r>
        <w:rPr>
          <w:highlight w:val="yellow"/>
        </w:rPr>
        <w:t>Human Rights Act Article 8 Right to Privacy</w:t>
      </w:r>
      <w:r w:rsidR="00327B0B">
        <w:rPr>
          <w:highlight w:val="yellow"/>
        </w:rPr>
        <w:t xml:space="preserve"> </w:t>
      </w:r>
      <w:r w:rsidR="00327B0B" w:rsidRPr="004F7230">
        <w:rPr>
          <w:b/>
          <w:bCs/>
          <w:highlight w:val="yellow"/>
        </w:rPr>
        <w:t>[</w:t>
      </w:r>
      <w:r w:rsidR="00401C55" w:rsidRPr="004F7230">
        <w:rPr>
          <w:b/>
          <w:bCs/>
          <w:highlight w:val="yellow"/>
        </w:rPr>
        <w:t>D</w:t>
      </w:r>
      <w:r w:rsidR="00327B0B" w:rsidRPr="004F7230">
        <w:rPr>
          <w:b/>
          <w:bCs/>
          <w:highlight w:val="yellow"/>
        </w:rPr>
        <w:t>elete as appropriate]</w:t>
      </w:r>
    </w:p>
    <w:p w14:paraId="51D684C9" w14:textId="3C7EC826" w:rsidR="007B73C9" w:rsidRDefault="00B134FC" w:rsidP="00207875">
      <w:pPr>
        <w:pStyle w:val="Bullets"/>
        <w:rPr>
          <w:highlight w:val="yellow"/>
        </w:rPr>
      </w:pPr>
      <w:r>
        <w:rPr>
          <w:highlight w:val="yellow"/>
        </w:rPr>
        <w:t>[</w:t>
      </w:r>
      <w:r w:rsidR="00327B0B">
        <w:rPr>
          <w:highlight w:val="yellow"/>
        </w:rPr>
        <w:t xml:space="preserve">If interference with Human Right to Privacy, please </w:t>
      </w:r>
      <w:r w:rsidR="00D41BAB">
        <w:rPr>
          <w:highlight w:val="yellow"/>
        </w:rPr>
        <w:t>explain how it is necessary and proportionate to interfere and how this outweighs Article 8]</w:t>
      </w:r>
    </w:p>
    <w:p w14:paraId="4E40EF8C" w14:textId="15308AF3" w:rsidR="00401C55" w:rsidRPr="004F7230" w:rsidRDefault="00CB7B60" w:rsidP="00401C55">
      <w:pPr>
        <w:pStyle w:val="Clause"/>
        <w:rPr>
          <w:highlight w:val="yellow"/>
        </w:rPr>
      </w:pPr>
      <w:r>
        <w:rPr>
          <w:highlight w:val="yellow"/>
        </w:rPr>
        <w:t xml:space="preserve">The Parties agree that </w:t>
      </w:r>
      <w:r w:rsidR="00DF6925">
        <w:rPr>
          <w:highlight w:val="yellow"/>
        </w:rPr>
        <w:t>the</w:t>
      </w:r>
      <w:r w:rsidR="004911C7">
        <w:rPr>
          <w:highlight w:val="yellow"/>
        </w:rPr>
        <w:t xml:space="preserve"> data shall be processed fairly and transparently by</w:t>
      </w:r>
      <w:r w:rsidR="006033B0">
        <w:rPr>
          <w:highlight w:val="yellow"/>
        </w:rPr>
        <w:t xml:space="preserve"> [</w:t>
      </w:r>
      <w:r w:rsidR="006033B0">
        <w:rPr>
          <w:b/>
          <w:bCs/>
          <w:highlight w:val="yellow"/>
        </w:rPr>
        <w:t>Delete as appropriate]:</w:t>
      </w:r>
    </w:p>
    <w:p w14:paraId="2D6E58E2" w14:textId="0F79FCC3" w:rsidR="006033B0" w:rsidRPr="004F7230" w:rsidRDefault="002A1D45" w:rsidP="006033B0">
      <w:pPr>
        <w:pStyle w:val="Bullets"/>
      </w:pPr>
      <w:r>
        <w:t xml:space="preserve">Providing an </w:t>
      </w:r>
      <w:proofErr w:type="gramStart"/>
      <w:r>
        <w:t>u</w:t>
      </w:r>
      <w:r w:rsidR="006033B0" w:rsidRPr="004F7230">
        <w:t>p to date</w:t>
      </w:r>
      <w:proofErr w:type="gramEnd"/>
      <w:r w:rsidR="006033B0" w:rsidRPr="004F7230">
        <w:t xml:space="preserve"> Privacy Policy</w:t>
      </w:r>
      <w:r w:rsidR="00295662" w:rsidRPr="004F7230">
        <w:t>/Privacy Notice to Data Subjects</w:t>
      </w:r>
    </w:p>
    <w:p w14:paraId="3752E988" w14:textId="46DC290E" w:rsidR="00295662" w:rsidRPr="004F7230" w:rsidRDefault="006322D0" w:rsidP="006033B0">
      <w:pPr>
        <w:pStyle w:val="Bullets"/>
      </w:pPr>
      <w:r w:rsidRPr="004F7230">
        <w:t>Signage/Information Leaflets provided to Data Subjects</w:t>
      </w:r>
    </w:p>
    <w:p w14:paraId="7F73FC08" w14:textId="08A83300" w:rsidR="006322D0" w:rsidRPr="00FC068B" w:rsidRDefault="006322D0" w:rsidP="006033B0">
      <w:pPr>
        <w:pStyle w:val="Bullets"/>
        <w:rPr>
          <w:highlight w:val="yellow"/>
        </w:rPr>
      </w:pPr>
      <w:r w:rsidRPr="004F7230">
        <w:t xml:space="preserve">Other </w:t>
      </w:r>
      <w:r w:rsidRPr="00FC068B">
        <w:rPr>
          <w:highlight w:val="yellow"/>
        </w:rPr>
        <w:t>[please specify and append]</w:t>
      </w:r>
    </w:p>
    <w:p w14:paraId="65DED1BE" w14:textId="77777777" w:rsidR="00191634" w:rsidRPr="00191634" w:rsidRDefault="00191634" w:rsidP="00355613">
      <w:pPr>
        <w:pStyle w:val="Heading2"/>
      </w:pPr>
      <w:r w:rsidRPr="00191634">
        <w:t>Data Quality</w:t>
      </w:r>
    </w:p>
    <w:p w14:paraId="30214FD3" w14:textId="77777777" w:rsidR="00191634" w:rsidRPr="00191634" w:rsidRDefault="00191634" w:rsidP="00191634">
      <w:pPr>
        <w:pStyle w:val="Clause"/>
      </w:pPr>
      <w:r w:rsidRPr="00191634">
        <w:t>The Data Discloser shall take all reasonable steps to ensure that before the Commencement Date, Shared Personal Data are accurate and that it has appropriate internal procedures in place for the Data Receiver to sample Shared Personal Data prior to the Commencement Date and it will update the same if required prior to transferring the Shared Personal Data.</w:t>
      </w:r>
    </w:p>
    <w:p w14:paraId="0900176A" w14:textId="1B5A5498" w:rsidR="00191634" w:rsidRPr="00191634" w:rsidRDefault="00191634" w:rsidP="00191634">
      <w:pPr>
        <w:pStyle w:val="Clause"/>
      </w:pPr>
      <w:r w:rsidRPr="00191634">
        <w:t xml:space="preserve">Shared Personal Data must be limited to the Personal Data described in clause </w:t>
      </w:r>
      <w:r w:rsidR="00355613">
        <w:fldChar w:fldCharType="begin"/>
      </w:r>
      <w:r w:rsidR="00355613">
        <w:instrText xml:space="preserve"> REF _Ref123902190 \r \h </w:instrText>
      </w:r>
      <w:r w:rsidR="00355613">
        <w:fldChar w:fldCharType="separate"/>
      </w:r>
      <w:r w:rsidR="0023173A">
        <w:t>3.1</w:t>
      </w:r>
      <w:r w:rsidR="00355613">
        <w:fldChar w:fldCharType="end"/>
      </w:r>
      <w:r w:rsidRPr="00191634">
        <w:t xml:space="preserve"> and clause </w:t>
      </w:r>
      <w:r w:rsidR="00355613">
        <w:fldChar w:fldCharType="begin"/>
      </w:r>
      <w:r w:rsidR="00355613">
        <w:instrText xml:space="preserve"> REF _Ref123902205 \r \h </w:instrText>
      </w:r>
      <w:r w:rsidR="00355613">
        <w:fldChar w:fldCharType="separate"/>
      </w:r>
      <w:r w:rsidR="0023173A">
        <w:t>3.2</w:t>
      </w:r>
      <w:r w:rsidR="00355613">
        <w:fldChar w:fldCharType="end"/>
      </w:r>
      <w:r w:rsidRPr="00191634">
        <w:t xml:space="preserve"> and the Appendix of this Agreement.</w:t>
      </w:r>
    </w:p>
    <w:p w14:paraId="638EF51A" w14:textId="77777777" w:rsidR="00191634" w:rsidRPr="00191634" w:rsidRDefault="00191634" w:rsidP="00355613">
      <w:pPr>
        <w:pStyle w:val="Heading2"/>
      </w:pPr>
      <w:r w:rsidRPr="00191634">
        <w:t>Data Retention and Deletion</w:t>
      </w:r>
    </w:p>
    <w:p w14:paraId="7E5DDE1A" w14:textId="77777777" w:rsidR="00191634" w:rsidRPr="00191634" w:rsidRDefault="00191634" w:rsidP="00191634">
      <w:pPr>
        <w:pStyle w:val="Clause"/>
      </w:pPr>
      <w:r w:rsidRPr="00191634">
        <w:t xml:space="preserve">The Data Receiver shall not </w:t>
      </w:r>
      <w:proofErr w:type="gramStart"/>
      <w:r w:rsidRPr="00191634">
        <w:t>retain</w:t>
      </w:r>
      <w:proofErr w:type="gramEnd"/>
      <w:r w:rsidRPr="00191634">
        <w:t xml:space="preserve"> or process Shared Personal Data for longer than is necessary to carry out the Agreed Purposes.</w:t>
      </w:r>
    </w:p>
    <w:p w14:paraId="721E8EB8" w14:textId="146F5DCD" w:rsidR="00191634" w:rsidRPr="00191634" w:rsidRDefault="00191634" w:rsidP="00191634">
      <w:pPr>
        <w:pStyle w:val="Clause"/>
      </w:pPr>
      <w:r w:rsidRPr="00191634">
        <w:t xml:space="preserve">Notwithstanding clause </w:t>
      </w:r>
      <w:r w:rsidR="00355613">
        <w:fldChar w:fldCharType="begin"/>
      </w:r>
      <w:r w:rsidR="00355613">
        <w:instrText xml:space="preserve"> REF _Ref123902235 \r \h </w:instrText>
      </w:r>
      <w:r w:rsidR="00355613">
        <w:fldChar w:fldCharType="separate"/>
      </w:r>
      <w:r w:rsidR="0023173A">
        <w:t>4.1</w:t>
      </w:r>
      <w:r w:rsidR="00355613">
        <w:fldChar w:fldCharType="end"/>
      </w:r>
      <w:r w:rsidRPr="00191634">
        <w:t xml:space="preserve">, </w:t>
      </w:r>
      <w:r w:rsidR="00105AA8">
        <w:t>P</w:t>
      </w:r>
      <w:r w:rsidRPr="00191634">
        <w:t>arties shall continue to retain Shared Personal Data in accordance with any statutory or professional retention periods applicable in their respective areas of work and profession.</w:t>
      </w:r>
    </w:p>
    <w:p w14:paraId="19560BAD" w14:textId="77777777" w:rsidR="00191634" w:rsidRPr="00191634" w:rsidRDefault="00191634" w:rsidP="00191634">
      <w:pPr>
        <w:pStyle w:val="Clause"/>
      </w:pPr>
      <w:r w:rsidRPr="00191634">
        <w:t>The Data Receiver shall ensure that any Shared Personal Data are returned to the Data Discloser or securely destroyed in the following circumstances:</w:t>
      </w:r>
    </w:p>
    <w:p w14:paraId="150AB5CE" w14:textId="77777777" w:rsidR="00191634" w:rsidRPr="00191634" w:rsidRDefault="00191634" w:rsidP="00355613">
      <w:pPr>
        <w:pStyle w:val="Bullets"/>
      </w:pPr>
      <w:r w:rsidRPr="00191634">
        <w:t xml:space="preserve">on termination of the </w:t>
      </w:r>
      <w:proofErr w:type="gramStart"/>
      <w:r w:rsidRPr="00191634">
        <w:t>Agreement;</w:t>
      </w:r>
      <w:proofErr w:type="gramEnd"/>
    </w:p>
    <w:p w14:paraId="56ED5E06" w14:textId="77777777" w:rsidR="00191634" w:rsidRPr="00191634" w:rsidRDefault="00191634" w:rsidP="00355613">
      <w:pPr>
        <w:pStyle w:val="Bullets"/>
      </w:pPr>
      <w:r w:rsidRPr="00191634">
        <w:lastRenderedPageBreak/>
        <w:t xml:space="preserve">on expiry of the Term of the </w:t>
      </w:r>
      <w:proofErr w:type="gramStart"/>
      <w:r w:rsidRPr="00191634">
        <w:t>Agreement;</w:t>
      </w:r>
      <w:proofErr w:type="gramEnd"/>
    </w:p>
    <w:p w14:paraId="6B3D033D" w14:textId="11CFA181" w:rsidR="00191634" w:rsidRPr="00191634" w:rsidRDefault="00191634" w:rsidP="00355613">
      <w:pPr>
        <w:pStyle w:val="Bullets"/>
      </w:pPr>
      <w:r w:rsidRPr="00191634">
        <w:t xml:space="preserve">once processing of the Shared Personal Data is no longer necessary for the purposes it was originally shared for, as set out in clause </w:t>
      </w:r>
      <w:r w:rsidR="00355613">
        <w:fldChar w:fldCharType="begin"/>
      </w:r>
      <w:r w:rsidR="00355613">
        <w:instrText xml:space="preserve"> REF _Ref123902270 \r \h </w:instrText>
      </w:r>
      <w:r w:rsidR="00355613">
        <w:fldChar w:fldCharType="separate"/>
      </w:r>
      <w:r w:rsidR="0023173A">
        <w:t>2.3</w:t>
      </w:r>
      <w:r w:rsidR="00355613">
        <w:fldChar w:fldCharType="end"/>
      </w:r>
      <w:r w:rsidRPr="00191634">
        <w:t>.</w:t>
      </w:r>
    </w:p>
    <w:p w14:paraId="1EB22D0E" w14:textId="77777777" w:rsidR="00191634" w:rsidRPr="00191634" w:rsidRDefault="00191634" w:rsidP="00355613">
      <w:pPr>
        <w:pStyle w:val="Heading2"/>
      </w:pPr>
      <w:r w:rsidRPr="00191634">
        <w:t xml:space="preserve">Notification of Data Subject Requests and Personal Data Breaches </w:t>
      </w:r>
    </w:p>
    <w:p w14:paraId="34772929" w14:textId="2D041C94" w:rsidR="00191634" w:rsidRPr="00191634" w:rsidRDefault="00191634" w:rsidP="00191634">
      <w:pPr>
        <w:pStyle w:val="Clause"/>
      </w:pPr>
      <w:r w:rsidRPr="00191634">
        <w:t xml:space="preserve">Where </w:t>
      </w:r>
      <w:r w:rsidR="00A830B9">
        <w:t>one of the Parties</w:t>
      </w:r>
      <w:r w:rsidR="00A830B9" w:rsidRPr="00191634">
        <w:t xml:space="preserve"> </w:t>
      </w:r>
      <w:r w:rsidRPr="00191634">
        <w:t xml:space="preserve">receives a request by any Data Subject to exercise any of their rights under the Data Protection Legislation in relation to the Shared Personal Data provided to it </w:t>
      </w:r>
      <w:r w:rsidR="00A830B9">
        <w:t>another Party</w:t>
      </w:r>
      <w:r w:rsidR="002F6057">
        <w:t xml:space="preserve">, the </w:t>
      </w:r>
      <w:r w:rsidR="00A830B9">
        <w:t>r</w:t>
      </w:r>
      <w:r w:rsidR="002F6057">
        <w:t xml:space="preserve">eceiver </w:t>
      </w:r>
      <w:r w:rsidR="00A830B9">
        <w:t xml:space="preserve">of that request </w:t>
      </w:r>
      <w:r w:rsidR="008F510D">
        <w:t>shall:</w:t>
      </w:r>
    </w:p>
    <w:p w14:paraId="5A72D0C7" w14:textId="16DE612E" w:rsidR="00191634" w:rsidRPr="00191634" w:rsidRDefault="00191634" w:rsidP="00355613">
      <w:pPr>
        <w:pStyle w:val="Sub-clause"/>
      </w:pPr>
      <w:r w:rsidRPr="00191634">
        <w:t xml:space="preserve">promptly, and in any event within five (5) Working Days of receipt of the request or correspondence, inform the </w:t>
      </w:r>
      <w:r w:rsidR="004A082F">
        <w:t>other Party</w:t>
      </w:r>
      <w:r w:rsidRPr="00191634">
        <w:t xml:space="preserve"> that it has received a request and shall forward such request or correspondence to the </w:t>
      </w:r>
      <w:r w:rsidR="004A082F">
        <w:t>Party</w:t>
      </w:r>
      <w:r w:rsidRPr="00191634">
        <w:t>; and</w:t>
      </w:r>
    </w:p>
    <w:p w14:paraId="01C035B1" w14:textId="162135BB" w:rsidR="00191634" w:rsidRPr="00191634" w:rsidRDefault="00191634" w:rsidP="00355613">
      <w:pPr>
        <w:pStyle w:val="Sub-clause"/>
      </w:pPr>
      <w:r w:rsidRPr="00191634">
        <w:t xml:space="preserve">provide any information and/or assistance as reasonably requested by the </w:t>
      </w:r>
      <w:r w:rsidR="004A082F">
        <w:t xml:space="preserve">Party in respect of the </w:t>
      </w:r>
      <w:proofErr w:type="spellStart"/>
      <w:proofErr w:type="gramStart"/>
      <w:r w:rsidR="004A082F">
        <w:t>request,</w:t>
      </w:r>
      <w:r w:rsidRPr="00191634">
        <w:t>to</w:t>
      </w:r>
      <w:proofErr w:type="spellEnd"/>
      <w:proofErr w:type="gramEnd"/>
      <w:r w:rsidRPr="00191634">
        <w:t xml:space="preserve"> help it respond to the request in the timeframes specified by Data Protection Legislation.</w:t>
      </w:r>
    </w:p>
    <w:p w14:paraId="45D88125" w14:textId="39E2C3FC" w:rsidR="00191634" w:rsidRPr="00191634" w:rsidRDefault="009101A4" w:rsidP="00191634">
      <w:pPr>
        <w:pStyle w:val="Clause"/>
      </w:pPr>
      <w:r>
        <w:t xml:space="preserve">The Parties </w:t>
      </w:r>
      <w:proofErr w:type="spellStart"/>
      <w:r>
        <w:t>shall</w:t>
      </w:r>
      <w:r w:rsidR="00191634" w:rsidRPr="00191634">
        <w:t>promptly</w:t>
      </w:r>
      <w:proofErr w:type="spellEnd"/>
      <w:r w:rsidR="00191634" w:rsidRPr="00191634">
        <w:t xml:space="preserve"> notify </w:t>
      </w:r>
      <w:r>
        <w:t>one another</w:t>
      </w:r>
      <w:r w:rsidR="00191634" w:rsidRPr="00191634">
        <w:t xml:space="preserve"> upon becoming aware of any Personal Data Breach relating to the Shared Personal Data and shall: </w:t>
      </w:r>
    </w:p>
    <w:p w14:paraId="1DDF4AFA" w14:textId="77777777" w:rsidR="00191634" w:rsidRPr="00191634" w:rsidRDefault="00191634" w:rsidP="00355613">
      <w:pPr>
        <w:pStyle w:val="Sub-clause"/>
      </w:pPr>
      <w:r w:rsidRPr="00191634">
        <w:t xml:space="preserve">do all such things as reasonably necessary to assist in mitigating the effects of the Personal Data </w:t>
      </w:r>
      <w:proofErr w:type="gramStart"/>
      <w:r w:rsidRPr="00191634">
        <w:t>Breach;</w:t>
      </w:r>
      <w:proofErr w:type="gramEnd"/>
      <w:r w:rsidRPr="00191634">
        <w:t xml:space="preserve"> </w:t>
      </w:r>
    </w:p>
    <w:p w14:paraId="1A4C1DD5" w14:textId="77777777" w:rsidR="00191634" w:rsidRPr="00191634" w:rsidRDefault="00191634" w:rsidP="00355613">
      <w:pPr>
        <w:pStyle w:val="Sub-clause"/>
      </w:pPr>
      <w:r w:rsidRPr="00191634">
        <w:t xml:space="preserve">implement any measures necessary to restore the security of any compromised Shared Personal </w:t>
      </w:r>
      <w:proofErr w:type="gramStart"/>
      <w:r w:rsidRPr="00191634">
        <w:t>Data;</w:t>
      </w:r>
      <w:proofErr w:type="gramEnd"/>
      <w:r w:rsidRPr="00191634">
        <w:t xml:space="preserve"> </w:t>
      </w:r>
    </w:p>
    <w:p w14:paraId="75213304" w14:textId="5D9A8EEE" w:rsidR="00191634" w:rsidRPr="00191634" w:rsidRDefault="00191634" w:rsidP="00355613">
      <w:pPr>
        <w:pStyle w:val="Sub-clause"/>
      </w:pPr>
      <w:r w:rsidRPr="00191634">
        <w:t xml:space="preserve">work with </w:t>
      </w:r>
      <w:r w:rsidR="005849C2">
        <w:t xml:space="preserve">each </w:t>
      </w:r>
      <w:r w:rsidR="004F7230">
        <w:t>other</w:t>
      </w:r>
      <w:r w:rsidR="004F7230" w:rsidRPr="00191634">
        <w:t xml:space="preserve"> to</w:t>
      </w:r>
      <w:r w:rsidRPr="00191634">
        <w:t xml:space="preserve"> make any required notifications to the Information Commissioner’s Office and affected Data Subjects in accordance with the Data Protection Legislation (including the timeframes set out therein); and</w:t>
      </w:r>
    </w:p>
    <w:p w14:paraId="15AF1AF7" w14:textId="00FF77D6" w:rsidR="00191634" w:rsidRDefault="00191634" w:rsidP="00355613">
      <w:pPr>
        <w:pStyle w:val="Sub-clause"/>
      </w:pPr>
      <w:r w:rsidRPr="00191634">
        <w:t xml:space="preserve">not do anything which may damage the reputation of the </w:t>
      </w:r>
      <w:r w:rsidR="005849C2">
        <w:t>Parties to this agreement</w:t>
      </w:r>
      <w:r w:rsidRPr="00191634">
        <w:t xml:space="preserve"> or </w:t>
      </w:r>
      <w:r w:rsidR="005849C2">
        <w:t>their</w:t>
      </w:r>
      <w:r w:rsidRPr="00191634">
        <w:t xml:space="preserve"> relationship</w:t>
      </w:r>
      <w:r w:rsidR="005849C2">
        <w:t>s</w:t>
      </w:r>
      <w:r w:rsidRPr="00191634">
        <w:t xml:space="preserve"> with the relevant Data Subjects, save as required by Law. </w:t>
      </w:r>
    </w:p>
    <w:p w14:paraId="6A490E0A" w14:textId="3D31381F" w:rsidR="001B7EEB" w:rsidRDefault="00F706EB" w:rsidP="001B7EEB">
      <w:pPr>
        <w:pStyle w:val="Clause"/>
      </w:pPr>
      <w:r>
        <w:t xml:space="preserve">Where a Party identifies that </w:t>
      </w:r>
      <w:r w:rsidR="00CB1F75">
        <w:t xml:space="preserve">Shared </w:t>
      </w:r>
      <w:r>
        <w:t>Personal Data is inaccurate</w:t>
      </w:r>
      <w:r w:rsidR="008D27B4">
        <w:t>, either by the Disclosing Party after Sharing, or by the Receiving Party on receipt, the Parties shall notify the Data Discloser or Data Receiver respectively</w:t>
      </w:r>
      <w:r w:rsidR="00643DE6">
        <w:t xml:space="preserve"> </w:t>
      </w:r>
      <w:r w:rsidR="001B7EEB">
        <w:t xml:space="preserve">as soon as possible but no later than </w:t>
      </w:r>
      <w:r w:rsidR="00D25E35">
        <w:t>3</w:t>
      </w:r>
      <w:r w:rsidR="001B7EEB">
        <w:t xml:space="preserve"> working days after identification </w:t>
      </w:r>
      <w:proofErr w:type="gramStart"/>
      <w:r w:rsidR="001B7EEB">
        <w:t>and;</w:t>
      </w:r>
      <w:proofErr w:type="gramEnd"/>
    </w:p>
    <w:p w14:paraId="63198B04" w14:textId="429D56DA" w:rsidR="001B7EEB" w:rsidRDefault="001B7EEB" w:rsidP="001B7EEB">
      <w:pPr>
        <w:pStyle w:val="Sub-clause"/>
      </w:pPr>
      <w:r>
        <w:t xml:space="preserve">Work collaboratively to rectify the inaccurate data and </w:t>
      </w:r>
      <w:r w:rsidR="0066384B">
        <w:t>establish any impact to the processing activities or the rights and freedoms of the concerned Data Subjects</w:t>
      </w:r>
    </w:p>
    <w:p w14:paraId="561451F5" w14:textId="374C54FD" w:rsidR="0066384B" w:rsidRDefault="004828B7" w:rsidP="001B7EEB">
      <w:pPr>
        <w:pStyle w:val="Sub-clause"/>
      </w:pPr>
      <w:r>
        <w:t>Work collaboratively to assess the risks associated with the inaccurate data and assist the other Party in identifying</w:t>
      </w:r>
      <w:r w:rsidR="00C538C7">
        <w:t xml:space="preserve"> </w:t>
      </w:r>
      <w:proofErr w:type="gramStart"/>
      <w:r w:rsidR="00C538C7">
        <w:t>this;</w:t>
      </w:r>
      <w:proofErr w:type="gramEnd"/>
    </w:p>
    <w:p w14:paraId="58D28DFD" w14:textId="2BD6D652" w:rsidR="00C538C7" w:rsidRPr="00191634" w:rsidRDefault="00C538C7" w:rsidP="001B7EEB">
      <w:pPr>
        <w:pStyle w:val="Sub-clause"/>
      </w:pPr>
      <w:r>
        <w:t>The Discloser of the inaccurate data shall</w:t>
      </w:r>
      <w:r w:rsidR="00F949CD">
        <w:t xml:space="preserve"> identify where the inaccuracy originated and </w:t>
      </w:r>
      <w:r w:rsidR="00F30072">
        <w:t xml:space="preserve">take the necessary action to prevent future occurrences. </w:t>
      </w:r>
    </w:p>
    <w:p w14:paraId="79AA289B" w14:textId="77777777" w:rsidR="00191634" w:rsidRPr="00191634" w:rsidRDefault="00191634" w:rsidP="00355613">
      <w:pPr>
        <w:pStyle w:val="Heading2"/>
      </w:pPr>
      <w:r w:rsidRPr="00191634">
        <w:t>Variation</w:t>
      </w:r>
    </w:p>
    <w:p w14:paraId="0FE4A8F7" w14:textId="090B017E" w:rsidR="00191634" w:rsidRPr="00191634" w:rsidRDefault="00191634" w:rsidP="00191634">
      <w:pPr>
        <w:pStyle w:val="Clause"/>
      </w:pPr>
      <w:r w:rsidRPr="00191634">
        <w:t>No variation of this Agreement shall be effective unless it is in writing and signed by the Parties (or their authorised representatives).</w:t>
      </w:r>
      <w:r w:rsidR="00696BE4">
        <w:t xml:space="preserve"> </w:t>
      </w:r>
    </w:p>
    <w:p w14:paraId="5232B983" w14:textId="77777777" w:rsidR="00191634" w:rsidRPr="00191634" w:rsidRDefault="00191634" w:rsidP="00355613">
      <w:pPr>
        <w:pStyle w:val="Heading2"/>
      </w:pPr>
      <w:r w:rsidRPr="00191634">
        <w:t>Review</w:t>
      </w:r>
    </w:p>
    <w:p w14:paraId="7F03AFC0" w14:textId="60A44B17" w:rsidR="00191634" w:rsidRPr="00191634" w:rsidRDefault="00191634" w:rsidP="00191634">
      <w:pPr>
        <w:pStyle w:val="Clause"/>
      </w:pPr>
      <w:r w:rsidRPr="00191634">
        <w:lastRenderedPageBreak/>
        <w:t xml:space="preserve">The parties shall review the effectiveness of this data sharing initiative every </w:t>
      </w:r>
      <w:r w:rsidRPr="00355613">
        <w:rPr>
          <w:highlight w:val="yellow"/>
        </w:rPr>
        <w:t>[insert time frame]</w:t>
      </w:r>
      <w:r w:rsidRPr="00191634">
        <w:t xml:space="preserve">, having consideration to the aims and purposes set out in clause </w:t>
      </w:r>
      <w:r w:rsidR="00355613">
        <w:fldChar w:fldCharType="begin"/>
      </w:r>
      <w:r w:rsidR="00355613">
        <w:instrText xml:space="preserve"> REF _Ref123902363 \r \h </w:instrText>
      </w:r>
      <w:r w:rsidR="00355613">
        <w:fldChar w:fldCharType="separate"/>
      </w:r>
      <w:r w:rsidR="0023173A">
        <w:t>2.2</w:t>
      </w:r>
      <w:r w:rsidR="00355613">
        <w:fldChar w:fldCharType="end"/>
      </w:r>
      <w:r w:rsidRPr="00191634">
        <w:t xml:space="preserve"> and clause </w:t>
      </w:r>
      <w:r w:rsidR="00355613">
        <w:fldChar w:fldCharType="begin"/>
      </w:r>
      <w:r w:rsidR="00355613">
        <w:instrText xml:space="preserve"> REF _Ref123902270 \r \h </w:instrText>
      </w:r>
      <w:r w:rsidR="00355613">
        <w:fldChar w:fldCharType="separate"/>
      </w:r>
      <w:r w:rsidR="0023173A">
        <w:t>2.3</w:t>
      </w:r>
      <w:r w:rsidR="00355613">
        <w:fldChar w:fldCharType="end"/>
      </w:r>
      <w:r w:rsidRPr="00191634">
        <w:t xml:space="preserve">. The Parties shall continue, </w:t>
      </w:r>
      <w:r w:rsidR="00F932A2" w:rsidRPr="00191634">
        <w:t>amend,</w:t>
      </w:r>
      <w:r w:rsidRPr="00191634">
        <w:t xml:space="preserve"> or terminate the Agreement depending on the outcome of this review.</w:t>
      </w:r>
    </w:p>
    <w:p w14:paraId="4B7A5ECC" w14:textId="77777777" w:rsidR="00191634" w:rsidRPr="00191634" w:rsidRDefault="00191634" w:rsidP="00191634">
      <w:pPr>
        <w:pStyle w:val="Clause"/>
      </w:pPr>
      <w:r w:rsidRPr="00191634">
        <w:t>The review of the effectiveness of the data sharing initiative will involve:</w:t>
      </w:r>
    </w:p>
    <w:p w14:paraId="3093904D" w14:textId="77777777" w:rsidR="00191634" w:rsidRPr="00191634" w:rsidRDefault="00191634" w:rsidP="00355613">
      <w:pPr>
        <w:pStyle w:val="Bullets"/>
      </w:pPr>
      <w:r w:rsidRPr="00191634">
        <w:t xml:space="preserve">assessing whether the purposes for which the Shared Personal Data is being processed are still the ones listed in this </w:t>
      </w:r>
      <w:proofErr w:type="gramStart"/>
      <w:r w:rsidRPr="00191634">
        <w:t>Agreement;</w:t>
      </w:r>
      <w:proofErr w:type="gramEnd"/>
    </w:p>
    <w:p w14:paraId="2813ABCC" w14:textId="0FC1E1A1" w:rsidR="00191634" w:rsidRPr="00191634" w:rsidRDefault="00191634" w:rsidP="00355613">
      <w:pPr>
        <w:pStyle w:val="Bullets"/>
      </w:pPr>
      <w:r w:rsidRPr="00191634">
        <w:t xml:space="preserve">assessing whether the Shared Personal Data is still as listed in clause </w:t>
      </w:r>
      <w:r w:rsidR="00F423F0">
        <w:fldChar w:fldCharType="begin"/>
      </w:r>
      <w:r w:rsidR="00F423F0">
        <w:instrText xml:space="preserve"> REF _Ref123902190 \r \h </w:instrText>
      </w:r>
      <w:r w:rsidR="00F423F0">
        <w:fldChar w:fldCharType="separate"/>
      </w:r>
      <w:r w:rsidR="0023173A">
        <w:t>3.1</w:t>
      </w:r>
      <w:r w:rsidR="00F423F0">
        <w:fldChar w:fldCharType="end"/>
      </w:r>
      <w:r w:rsidRPr="00191634">
        <w:t xml:space="preserve"> and clause </w:t>
      </w:r>
      <w:r w:rsidR="00F423F0">
        <w:fldChar w:fldCharType="begin"/>
      </w:r>
      <w:r w:rsidR="00F423F0">
        <w:instrText xml:space="preserve"> REF _Ref123902205 \r \h </w:instrText>
      </w:r>
      <w:r w:rsidR="00F423F0">
        <w:fldChar w:fldCharType="separate"/>
      </w:r>
      <w:r w:rsidR="0023173A">
        <w:t>3.2</w:t>
      </w:r>
      <w:r w:rsidR="00F423F0">
        <w:fldChar w:fldCharType="end"/>
      </w:r>
      <w:r w:rsidRPr="00191634">
        <w:t xml:space="preserve"> of this </w:t>
      </w:r>
      <w:proofErr w:type="gramStart"/>
      <w:r w:rsidRPr="00191634">
        <w:t>Agreement;</w:t>
      </w:r>
      <w:proofErr w:type="gramEnd"/>
    </w:p>
    <w:p w14:paraId="15B27213" w14:textId="77777777" w:rsidR="00191634" w:rsidRPr="00191634" w:rsidRDefault="00191634" w:rsidP="00355613">
      <w:pPr>
        <w:pStyle w:val="Bullets"/>
      </w:pPr>
      <w:r w:rsidRPr="00191634">
        <w:t>assessing whether the legal framework governing data quality, retention, and Data Subjects' rights are being complied with; and</w:t>
      </w:r>
    </w:p>
    <w:p w14:paraId="79CF08E2" w14:textId="77777777" w:rsidR="00191634" w:rsidRPr="00191634" w:rsidRDefault="00191634" w:rsidP="00355613">
      <w:pPr>
        <w:pStyle w:val="Bullets"/>
      </w:pPr>
      <w:r w:rsidRPr="00191634">
        <w:t>assessing whether Personal Data Breaches involving the Shared Personal Data have been handled in accordance with this Agreement and the applicable legal framework.</w:t>
      </w:r>
    </w:p>
    <w:p w14:paraId="1694B8F8" w14:textId="77777777" w:rsidR="00191634" w:rsidRPr="00191634" w:rsidRDefault="00191634" w:rsidP="00191634">
      <w:pPr>
        <w:pStyle w:val="Clause"/>
      </w:pPr>
      <w:r w:rsidRPr="00191634">
        <w:t>If the Constabulary are party to this agreement to satisfy MOPI requirements this agreement will be reviewed annually.</w:t>
      </w:r>
    </w:p>
    <w:p w14:paraId="6288C71A" w14:textId="77777777" w:rsidR="00191634" w:rsidRPr="00191634" w:rsidRDefault="00191634" w:rsidP="00E9697D">
      <w:pPr>
        <w:pStyle w:val="Heading2"/>
      </w:pPr>
      <w:r w:rsidRPr="00191634">
        <w:t>Supplementary Documents</w:t>
      </w:r>
    </w:p>
    <w:p w14:paraId="344B1573" w14:textId="49CA2FC1" w:rsidR="00191634" w:rsidRPr="00191634" w:rsidRDefault="00191634" w:rsidP="00191634">
      <w:pPr>
        <w:pStyle w:val="Clause"/>
      </w:pPr>
      <w:r w:rsidRPr="00191634">
        <w:t xml:space="preserve">This agreement is to be supplemented by appropriate supporting documents, </w:t>
      </w:r>
      <w:r w:rsidR="00B07505">
        <w:rPr>
          <w:highlight w:val="yellow"/>
        </w:rPr>
        <w:t>append the following documents to this agreement as appropriate for the processing activity</w:t>
      </w:r>
      <w:r w:rsidR="00AA764C">
        <w:rPr>
          <w:highlight w:val="yellow"/>
        </w:rPr>
        <w:t xml:space="preserve">. </w:t>
      </w:r>
      <w:r w:rsidR="00AA764C">
        <w:rPr>
          <w:b/>
          <w:bCs/>
          <w:highlight w:val="yellow"/>
        </w:rPr>
        <w:t>Please note, for Joint Controller Agreements, you must include a Roles and Responsibilities</w:t>
      </w:r>
      <w:r w:rsidR="00BE1853">
        <w:rPr>
          <w:b/>
          <w:bCs/>
          <w:highlight w:val="yellow"/>
        </w:rPr>
        <w:t xml:space="preserve"> document</w:t>
      </w:r>
      <w:r w:rsidRPr="00E9697D">
        <w:rPr>
          <w:highlight w:val="yellow"/>
        </w:rPr>
        <w:t>]</w:t>
      </w:r>
    </w:p>
    <w:p w14:paraId="3F82B0EC" w14:textId="77777777" w:rsidR="00191634" w:rsidRPr="00191634" w:rsidRDefault="00191634" w:rsidP="00E9697D">
      <w:pPr>
        <w:pStyle w:val="Bullets"/>
      </w:pPr>
      <w:r w:rsidRPr="00191634">
        <w:t>Information Transfer Procedure, including detailed security arrangements</w:t>
      </w:r>
    </w:p>
    <w:p w14:paraId="13CA26E7" w14:textId="77777777" w:rsidR="00191634" w:rsidRPr="00191634" w:rsidRDefault="00191634" w:rsidP="00E9697D">
      <w:pPr>
        <w:pStyle w:val="Bullets"/>
      </w:pPr>
      <w:r w:rsidRPr="00191634">
        <w:t>Information Risk Assessment</w:t>
      </w:r>
    </w:p>
    <w:p w14:paraId="4D43253D" w14:textId="77777777" w:rsidR="00191634" w:rsidRPr="00191634" w:rsidRDefault="00191634" w:rsidP="00E9697D">
      <w:pPr>
        <w:pStyle w:val="Bullets"/>
      </w:pPr>
      <w:r w:rsidRPr="00191634">
        <w:t>Data Protection Privacy Impact Assessment</w:t>
      </w:r>
    </w:p>
    <w:p w14:paraId="23F86D47" w14:textId="77777777" w:rsidR="00191634" w:rsidRPr="00191634" w:rsidRDefault="00191634" w:rsidP="00E9697D">
      <w:pPr>
        <w:pStyle w:val="Bullets"/>
      </w:pPr>
      <w:r w:rsidRPr="00191634">
        <w:t>Retention Schedule entries applicable to the processing</w:t>
      </w:r>
    </w:p>
    <w:p w14:paraId="0C8507A6" w14:textId="77777777" w:rsidR="00191634" w:rsidRPr="00191634" w:rsidRDefault="00191634" w:rsidP="00E9697D">
      <w:pPr>
        <w:pStyle w:val="Bullets"/>
      </w:pPr>
      <w:r w:rsidRPr="00191634">
        <w:t>Information Flow Map</w:t>
      </w:r>
    </w:p>
    <w:p w14:paraId="66833063" w14:textId="77777777" w:rsidR="00191634" w:rsidRDefault="00191634" w:rsidP="00E9697D">
      <w:pPr>
        <w:pStyle w:val="Bullets"/>
      </w:pPr>
      <w:r w:rsidRPr="00191634">
        <w:t xml:space="preserve">Information for Subjects including signs, Leaflets, Privacy Notice Clauses </w:t>
      </w:r>
    </w:p>
    <w:p w14:paraId="3414C15C" w14:textId="7305B374" w:rsidR="00653CAD" w:rsidRDefault="00653CAD" w:rsidP="00E9697D">
      <w:pPr>
        <w:pStyle w:val="Bullets"/>
      </w:pPr>
      <w:r>
        <w:t>Approved Processors/Sub-Processors</w:t>
      </w:r>
    </w:p>
    <w:p w14:paraId="740C9000" w14:textId="2A235D85" w:rsidR="00BE1853" w:rsidRPr="00191634" w:rsidRDefault="00BE1853" w:rsidP="00E9697D">
      <w:pPr>
        <w:pStyle w:val="Bullets"/>
      </w:pPr>
      <w:r>
        <w:t xml:space="preserve">Roles and Responsibilities of the Joint Controllers </w:t>
      </w:r>
      <w:r w:rsidRPr="004F7230">
        <w:rPr>
          <w:b/>
          <w:bCs/>
          <w:highlight w:val="yellow"/>
        </w:rPr>
        <w:t>[required for all Joint Controller Agreements]</w:t>
      </w:r>
    </w:p>
    <w:p w14:paraId="51E431F0" w14:textId="77777777" w:rsidR="00191634" w:rsidRPr="00191634" w:rsidRDefault="00191634" w:rsidP="00E9697D">
      <w:pPr>
        <w:pStyle w:val="Heading2"/>
      </w:pPr>
      <w:r w:rsidRPr="00191634">
        <w:t>Point of Contact for Each Party</w:t>
      </w:r>
    </w:p>
    <w:tbl>
      <w:tblPr>
        <w:tblStyle w:val="TableGrid"/>
        <w:tblW w:w="9889" w:type="dxa"/>
        <w:tblLayout w:type="fixed"/>
        <w:tblLook w:val="04A0" w:firstRow="1" w:lastRow="0" w:firstColumn="1" w:lastColumn="0" w:noHBand="0" w:noVBand="1"/>
      </w:tblPr>
      <w:tblGrid>
        <w:gridCol w:w="1929"/>
        <w:gridCol w:w="2414"/>
        <w:gridCol w:w="2286"/>
        <w:gridCol w:w="3260"/>
      </w:tblGrid>
      <w:tr w:rsidR="00825DF3" w:rsidRPr="00191634" w14:paraId="32D8A29A" w14:textId="77777777" w:rsidTr="00901105">
        <w:trPr>
          <w:trHeight w:val="20"/>
        </w:trPr>
        <w:tc>
          <w:tcPr>
            <w:tcW w:w="1929" w:type="dxa"/>
            <w:tcBorders>
              <w:top w:val="nil"/>
              <w:left w:val="nil"/>
            </w:tcBorders>
            <w:vAlign w:val="center"/>
          </w:tcPr>
          <w:p w14:paraId="3A80042D" w14:textId="77777777" w:rsidR="00825DF3" w:rsidRPr="00191634" w:rsidRDefault="00825DF3" w:rsidP="00901105">
            <w:pPr>
              <w:pStyle w:val="TableText"/>
            </w:pPr>
            <w:bookmarkStart w:id="6" w:name="_Hlk184994200"/>
          </w:p>
        </w:tc>
        <w:tc>
          <w:tcPr>
            <w:tcW w:w="2414" w:type="dxa"/>
            <w:vAlign w:val="center"/>
          </w:tcPr>
          <w:p w14:paraId="5C2CF841" w14:textId="77777777" w:rsidR="00825DF3" w:rsidRPr="00191634" w:rsidRDefault="00825DF3" w:rsidP="00901105">
            <w:pPr>
              <w:pStyle w:val="TableText"/>
            </w:pPr>
            <w:r w:rsidRPr="00191634">
              <w:t>Name</w:t>
            </w:r>
          </w:p>
        </w:tc>
        <w:tc>
          <w:tcPr>
            <w:tcW w:w="2286" w:type="dxa"/>
            <w:vAlign w:val="center"/>
          </w:tcPr>
          <w:p w14:paraId="443CC183" w14:textId="77777777" w:rsidR="00825DF3" w:rsidRPr="00191634" w:rsidRDefault="00825DF3" w:rsidP="00901105">
            <w:pPr>
              <w:pStyle w:val="TableText"/>
            </w:pPr>
            <w:r w:rsidRPr="00191634">
              <w:t xml:space="preserve">Role </w:t>
            </w:r>
          </w:p>
        </w:tc>
        <w:tc>
          <w:tcPr>
            <w:tcW w:w="3260" w:type="dxa"/>
            <w:vAlign w:val="center"/>
          </w:tcPr>
          <w:p w14:paraId="69D887A5" w14:textId="77777777" w:rsidR="00825DF3" w:rsidRPr="00191634" w:rsidRDefault="00825DF3" w:rsidP="00901105">
            <w:pPr>
              <w:pStyle w:val="TableText"/>
            </w:pPr>
            <w:r w:rsidRPr="00191634">
              <w:t>Contact Details</w:t>
            </w:r>
          </w:p>
        </w:tc>
      </w:tr>
      <w:tr w:rsidR="00825DF3" w:rsidRPr="00191634" w14:paraId="42CE0751" w14:textId="77777777" w:rsidTr="00901105">
        <w:trPr>
          <w:trHeight w:val="20"/>
        </w:trPr>
        <w:tc>
          <w:tcPr>
            <w:tcW w:w="1929" w:type="dxa"/>
          </w:tcPr>
          <w:p w14:paraId="3BE2C9BC" w14:textId="77777777" w:rsidR="00825DF3" w:rsidRPr="00191634" w:rsidRDefault="00825DF3" w:rsidP="00901105">
            <w:pPr>
              <w:pStyle w:val="TableText"/>
            </w:pPr>
            <w:r w:rsidRPr="00191634">
              <w:t>Party 1</w:t>
            </w:r>
            <w:r>
              <w:t xml:space="preserve"> -</w:t>
            </w:r>
          </w:p>
          <w:p w14:paraId="0661F855" w14:textId="77777777" w:rsidR="00825DF3" w:rsidRPr="00191634" w:rsidRDefault="00825DF3" w:rsidP="00901105">
            <w:pPr>
              <w:pStyle w:val="TableText"/>
            </w:pPr>
            <w:r w:rsidRPr="00B94DF9">
              <w:rPr>
                <w:sz w:val="22"/>
                <w:szCs w:val="22"/>
              </w:rPr>
              <w:t xml:space="preserve">(This will be the person who is the lead for the agreement.)  </w:t>
            </w:r>
          </w:p>
        </w:tc>
        <w:tc>
          <w:tcPr>
            <w:tcW w:w="2414" w:type="dxa"/>
          </w:tcPr>
          <w:p w14:paraId="77808FD8" w14:textId="77777777" w:rsidR="00825DF3" w:rsidRPr="00191634" w:rsidRDefault="00825DF3" w:rsidP="00901105">
            <w:pPr>
              <w:pStyle w:val="TableText"/>
            </w:pPr>
          </w:p>
          <w:p w14:paraId="1A1B4FCD" w14:textId="77777777" w:rsidR="00825DF3" w:rsidRPr="00191634" w:rsidRDefault="00825DF3" w:rsidP="00901105">
            <w:pPr>
              <w:pStyle w:val="TableText"/>
            </w:pPr>
          </w:p>
          <w:p w14:paraId="24D1288B" w14:textId="77777777" w:rsidR="00825DF3" w:rsidRPr="00191634" w:rsidRDefault="00825DF3" w:rsidP="00901105">
            <w:pPr>
              <w:pStyle w:val="TableText"/>
            </w:pPr>
          </w:p>
        </w:tc>
        <w:tc>
          <w:tcPr>
            <w:tcW w:w="2286" w:type="dxa"/>
          </w:tcPr>
          <w:p w14:paraId="070D1166" w14:textId="77777777" w:rsidR="00825DF3" w:rsidRPr="00191634" w:rsidRDefault="00825DF3" w:rsidP="00901105">
            <w:pPr>
              <w:pStyle w:val="TableText"/>
            </w:pPr>
          </w:p>
        </w:tc>
        <w:tc>
          <w:tcPr>
            <w:tcW w:w="3260" w:type="dxa"/>
          </w:tcPr>
          <w:p w14:paraId="1B6132AD" w14:textId="77777777" w:rsidR="00825DF3" w:rsidRPr="00191634" w:rsidRDefault="00825DF3" w:rsidP="00901105">
            <w:pPr>
              <w:pStyle w:val="TableText"/>
            </w:pPr>
          </w:p>
          <w:p w14:paraId="7AE1C84C" w14:textId="77777777" w:rsidR="00825DF3" w:rsidRPr="00191634" w:rsidRDefault="00825DF3" w:rsidP="00901105">
            <w:pPr>
              <w:pStyle w:val="TableText"/>
            </w:pPr>
          </w:p>
        </w:tc>
      </w:tr>
      <w:tr w:rsidR="00825DF3" w:rsidRPr="00191634" w14:paraId="49628134" w14:textId="77777777" w:rsidTr="00901105">
        <w:trPr>
          <w:trHeight w:val="20"/>
        </w:trPr>
        <w:tc>
          <w:tcPr>
            <w:tcW w:w="1929" w:type="dxa"/>
          </w:tcPr>
          <w:p w14:paraId="74FB8411" w14:textId="77777777" w:rsidR="00825DF3" w:rsidRPr="00191634" w:rsidRDefault="00825DF3" w:rsidP="00901105">
            <w:pPr>
              <w:pStyle w:val="TableText"/>
            </w:pPr>
            <w:r w:rsidRPr="00191634">
              <w:t>Party 2</w:t>
            </w:r>
            <w:r>
              <w:t xml:space="preserve"> -</w:t>
            </w:r>
          </w:p>
        </w:tc>
        <w:tc>
          <w:tcPr>
            <w:tcW w:w="2414" w:type="dxa"/>
          </w:tcPr>
          <w:p w14:paraId="7006719D" w14:textId="77777777" w:rsidR="00825DF3" w:rsidRPr="00191634" w:rsidRDefault="00825DF3" w:rsidP="00901105">
            <w:pPr>
              <w:pStyle w:val="TableText"/>
            </w:pPr>
          </w:p>
        </w:tc>
        <w:tc>
          <w:tcPr>
            <w:tcW w:w="2286" w:type="dxa"/>
          </w:tcPr>
          <w:p w14:paraId="4241948A" w14:textId="77777777" w:rsidR="00825DF3" w:rsidRPr="00191634" w:rsidRDefault="00825DF3" w:rsidP="00901105">
            <w:pPr>
              <w:pStyle w:val="TableText"/>
            </w:pPr>
          </w:p>
        </w:tc>
        <w:tc>
          <w:tcPr>
            <w:tcW w:w="3260" w:type="dxa"/>
          </w:tcPr>
          <w:p w14:paraId="68EC3963" w14:textId="77777777" w:rsidR="00825DF3" w:rsidRPr="00191634" w:rsidRDefault="00825DF3" w:rsidP="00901105">
            <w:pPr>
              <w:pStyle w:val="TableText"/>
            </w:pPr>
          </w:p>
        </w:tc>
      </w:tr>
      <w:tr w:rsidR="00825DF3" w:rsidRPr="00191634" w14:paraId="10E39D43" w14:textId="77777777" w:rsidTr="00901105">
        <w:trPr>
          <w:trHeight w:val="20"/>
        </w:trPr>
        <w:tc>
          <w:tcPr>
            <w:tcW w:w="1929" w:type="dxa"/>
          </w:tcPr>
          <w:p w14:paraId="6303737E" w14:textId="77777777" w:rsidR="00825DF3" w:rsidRPr="00191634" w:rsidRDefault="00825DF3" w:rsidP="00901105">
            <w:pPr>
              <w:pStyle w:val="TableText"/>
            </w:pPr>
            <w:r w:rsidRPr="00191634">
              <w:t>Party 3</w:t>
            </w:r>
            <w:r>
              <w:t xml:space="preserve"> -</w:t>
            </w:r>
          </w:p>
        </w:tc>
        <w:tc>
          <w:tcPr>
            <w:tcW w:w="2414" w:type="dxa"/>
          </w:tcPr>
          <w:p w14:paraId="16728D2E" w14:textId="77777777" w:rsidR="00825DF3" w:rsidRPr="00191634" w:rsidRDefault="00825DF3" w:rsidP="00901105">
            <w:pPr>
              <w:pStyle w:val="TableText"/>
            </w:pPr>
          </w:p>
        </w:tc>
        <w:tc>
          <w:tcPr>
            <w:tcW w:w="2286" w:type="dxa"/>
          </w:tcPr>
          <w:p w14:paraId="439EE079" w14:textId="77777777" w:rsidR="00825DF3" w:rsidRPr="00191634" w:rsidRDefault="00825DF3" w:rsidP="00901105">
            <w:pPr>
              <w:pStyle w:val="TableText"/>
            </w:pPr>
          </w:p>
        </w:tc>
        <w:tc>
          <w:tcPr>
            <w:tcW w:w="3260" w:type="dxa"/>
          </w:tcPr>
          <w:p w14:paraId="411655BA" w14:textId="77777777" w:rsidR="00825DF3" w:rsidRPr="00191634" w:rsidRDefault="00825DF3" w:rsidP="00901105">
            <w:pPr>
              <w:pStyle w:val="TableText"/>
            </w:pPr>
          </w:p>
        </w:tc>
      </w:tr>
    </w:tbl>
    <w:p w14:paraId="00212667" w14:textId="2512FF3E" w:rsidR="008247B9" w:rsidRPr="00191634" w:rsidRDefault="008247B9" w:rsidP="008247B9">
      <w:pPr>
        <w:pStyle w:val="Heading2"/>
      </w:pPr>
      <w:r>
        <w:lastRenderedPageBreak/>
        <w:t>Signatories</w:t>
      </w:r>
    </w:p>
    <w:tbl>
      <w:tblPr>
        <w:tblStyle w:val="TableGrid"/>
        <w:tblW w:w="9894" w:type="dxa"/>
        <w:tblLayout w:type="fixed"/>
        <w:tblLook w:val="04A0" w:firstRow="1" w:lastRow="0" w:firstColumn="1" w:lastColumn="0" w:noHBand="0" w:noVBand="1"/>
      </w:tblPr>
      <w:tblGrid>
        <w:gridCol w:w="1929"/>
        <w:gridCol w:w="1991"/>
        <w:gridCol w:w="1991"/>
        <w:gridCol w:w="1991"/>
        <w:gridCol w:w="1992"/>
      </w:tblGrid>
      <w:tr w:rsidR="008247B9" w:rsidRPr="00191634" w14:paraId="4DE0FE27" w14:textId="77777777" w:rsidTr="008247B9">
        <w:trPr>
          <w:trHeight w:val="20"/>
        </w:trPr>
        <w:tc>
          <w:tcPr>
            <w:tcW w:w="1929" w:type="dxa"/>
            <w:tcBorders>
              <w:top w:val="nil"/>
              <w:left w:val="nil"/>
            </w:tcBorders>
            <w:vAlign w:val="center"/>
          </w:tcPr>
          <w:p w14:paraId="12CAFE16" w14:textId="77777777" w:rsidR="008247B9" w:rsidRPr="00191634" w:rsidRDefault="008247B9" w:rsidP="00DC3F5E">
            <w:pPr>
              <w:pStyle w:val="TableText"/>
            </w:pPr>
          </w:p>
        </w:tc>
        <w:tc>
          <w:tcPr>
            <w:tcW w:w="1991" w:type="dxa"/>
            <w:vAlign w:val="center"/>
          </w:tcPr>
          <w:p w14:paraId="10823C1B" w14:textId="77777777" w:rsidR="008247B9" w:rsidRPr="00191634" w:rsidRDefault="008247B9" w:rsidP="00DC3F5E">
            <w:pPr>
              <w:pStyle w:val="TableText"/>
            </w:pPr>
            <w:r w:rsidRPr="00191634">
              <w:t>Name</w:t>
            </w:r>
          </w:p>
        </w:tc>
        <w:tc>
          <w:tcPr>
            <w:tcW w:w="1991" w:type="dxa"/>
            <w:vAlign w:val="center"/>
          </w:tcPr>
          <w:p w14:paraId="6F489CCC" w14:textId="77777777" w:rsidR="008247B9" w:rsidRPr="00191634" w:rsidRDefault="008247B9" w:rsidP="00DC3F5E">
            <w:pPr>
              <w:pStyle w:val="TableText"/>
            </w:pPr>
            <w:r w:rsidRPr="00191634">
              <w:t xml:space="preserve">Role </w:t>
            </w:r>
          </w:p>
        </w:tc>
        <w:tc>
          <w:tcPr>
            <w:tcW w:w="1991" w:type="dxa"/>
          </w:tcPr>
          <w:p w14:paraId="039E61B0" w14:textId="3F7B5123" w:rsidR="008247B9" w:rsidRPr="00191634" w:rsidRDefault="008247B9" w:rsidP="00DC3F5E">
            <w:pPr>
              <w:pStyle w:val="TableText"/>
            </w:pPr>
            <w:r>
              <w:t>Signature</w:t>
            </w:r>
          </w:p>
        </w:tc>
        <w:tc>
          <w:tcPr>
            <w:tcW w:w="1992" w:type="dxa"/>
            <w:vAlign w:val="center"/>
          </w:tcPr>
          <w:p w14:paraId="4FB42AF6" w14:textId="23BCA5FD" w:rsidR="008247B9" w:rsidRPr="00191634" w:rsidRDefault="008247B9" w:rsidP="00DC3F5E">
            <w:pPr>
              <w:pStyle w:val="TableText"/>
            </w:pPr>
            <w:r>
              <w:t>Date</w:t>
            </w:r>
          </w:p>
        </w:tc>
      </w:tr>
      <w:tr w:rsidR="008247B9" w:rsidRPr="00191634" w14:paraId="026DB8C0" w14:textId="77777777" w:rsidTr="008247B9">
        <w:trPr>
          <w:trHeight w:val="20"/>
        </w:trPr>
        <w:tc>
          <w:tcPr>
            <w:tcW w:w="1929" w:type="dxa"/>
          </w:tcPr>
          <w:p w14:paraId="7926A545" w14:textId="38675208" w:rsidR="008247B9" w:rsidRPr="00191634" w:rsidRDefault="008247B9" w:rsidP="00DC3F5E">
            <w:pPr>
              <w:pStyle w:val="TableText"/>
            </w:pPr>
            <w:r w:rsidRPr="00191634">
              <w:t>Party 1</w:t>
            </w:r>
            <w:r>
              <w:t xml:space="preserve"> -</w:t>
            </w:r>
          </w:p>
        </w:tc>
        <w:tc>
          <w:tcPr>
            <w:tcW w:w="1991" w:type="dxa"/>
          </w:tcPr>
          <w:p w14:paraId="2F0E96A4" w14:textId="77777777" w:rsidR="008247B9" w:rsidRPr="00191634" w:rsidRDefault="008247B9" w:rsidP="008247B9">
            <w:pPr>
              <w:pStyle w:val="TableText"/>
            </w:pPr>
          </w:p>
        </w:tc>
        <w:tc>
          <w:tcPr>
            <w:tcW w:w="1991" w:type="dxa"/>
          </w:tcPr>
          <w:p w14:paraId="5DB5CC65" w14:textId="77777777" w:rsidR="008247B9" w:rsidRPr="00191634" w:rsidRDefault="008247B9" w:rsidP="00DC3F5E">
            <w:pPr>
              <w:pStyle w:val="TableText"/>
            </w:pPr>
          </w:p>
        </w:tc>
        <w:tc>
          <w:tcPr>
            <w:tcW w:w="1991" w:type="dxa"/>
          </w:tcPr>
          <w:p w14:paraId="7C905531" w14:textId="77777777" w:rsidR="008247B9" w:rsidRPr="00191634" w:rsidRDefault="008247B9" w:rsidP="00DC3F5E">
            <w:pPr>
              <w:pStyle w:val="TableText"/>
            </w:pPr>
          </w:p>
        </w:tc>
        <w:tc>
          <w:tcPr>
            <w:tcW w:w="1992" w:type="dxa"/>
          </w:tcPr>
          <w:p w14:paraId="1E6E2427" w14:textId="77777777" w:rsidR="008247B9" w:rsidRPr="00191634" w:rsidRDefault="008247B9" w:rsidP="00DC3F5E">
            <w:pPr>
              <w:pStyle w:val="TableText"/>
            </w:pPr>
          </w:p>
        </w:tc>
      </w:tr>
      <w:tr w:rsidR="008247B9" w:rsidRPr="00191634" w14:paraId="017E76DB" w14:textId="77777777" w:rsidTr="008247B9">
        <w:trPr>
          <w:trHeight w:val="20"/>
        </w:trPr>
        <w:tc>
          <w:tcPr>
            <w:tcW w:w="1929" w:type="dxa"/>
          </w:tcPr>
          <w:p w14:paraId="4655434A" w14:textId="77777777" w:rsidR="008247B9" w:rsidRPr="00191634" w:rsidRDefault="008247B9" w:rsidP="00DC3F5E">
            <w:pPr>
              <w:pStyle w:val="TableText"/>
            </w:pPr>
            <w:r w:rsidRPr="00191634">
              <w:t>Party 2</w:t>
            </w:r>
            <w:r>
              <w:t xml:space="preserve"> -</w:t>
            </w:r>
          </w:p>
        </w:tc>
        <w:tc>
          <w:tcPr>
            <w:tcW w:w="1991" w:type="dxa"/>
          </w:tcPr>
          <w:p w14:paraId="500347CC" w14:textId="77777777" w:rsidR="008247B9" w:rsidRPr="00191634" w:rsidRDefault="008247B9" w:rsidP="00DC3F5E">
            <w:pPr>
              <w:pStyle w:val="TableText"/>
            </w:pPr>
          </w:p>
        </w:tc>
        <w:tc>
          <w:tcPr>
            <w:tcW w:w="1991" w:type="dxa"/>
          </w:tcPr>
          <w:p w14:paraId="28E64CC1" w14:textId="77777777" w:rsidR="008247B9" w:rsidRPr="00191634" w:rsidRDefault="008247B9" w:rsidP="00DC3F5E">
            <w:pPr>
              <w:pStyle w:val="TableText"/>
            </w:pPr>
          </w:p>
        </w:tc>
        <w:tc>
          <w:tcPr>
            <w:tcW w:w="1991" w:type="dxa"/>
          </w:tcPr>
          <w:p w14:paraId="35665B82" w14:textId="77777777" w:rsidR="008247B9" w:rsidRPr="00191634" w:rsidRDefault="008247B9" w:rsidP="00DC3F5E">
            <w:pPr>
              <w:pStyle w:val="TableText"/>
            </w:pPr>
          </w:p>
        </w:tc>
        <w:tc>
          <w:tcPr>
            <w:tcW w:w="1992" w:type="dxa"/>
          </w:tcPr>
          <w:p w14:paraId="261B5451" w14:textId="2B674F9F" w:rsidR="008247B9" w:rsidRPr="00191634" w:rsidRDefault="008247B9" w:rsidP="00DC3F5E">
            <w:pPr>
              <w:pStyle w:val="TableText"/>
            </w:pPr>
          </w:p>
        </w:tc>
      </w:tr>
      <w:tr w:rsidR="008247B9" w:rsidRPr="00191634" w14:paraId="4D74F020" w14:textId="77777777" w:rsidTr="008247B9">
        <w:trPr>
          <w:trHeight w:val="20"/>
        </w:trPr>
        <w:tc>
          <w:tcPr>
            <w:tcW w:w="1929" w:type="dxa"/>
          </w:tcPr>
          <w:p w14:paraId="6BA25159" w14:textId="77777777" w:rsidR="008247B9" w:rsidRPr="00191634" w:rsidRDefault="008247B9" w:rsidP="00DC3F5E">
            <w:pPr>
              <w:pStyle w:val="TableText"/>
            </w:pPr>
            <w:r w:rsidRPr="00191634">
              <w:t>Party 3</w:t>
            </w:r>
            <w:r>
              <w:t xml:space="preserve"> -</w:t>
            </w:r>
          </w:p>
        </w:tc>
        <w:tc>
          <w:tcPr>
            <w:tcW w:w="1991" w:type="dxa"/>
          </w:tcPr>
          <w:p w14:paraId="4D17C077" w14:textId="77777777" w:rsidR="008247B9" w:rsidRPr="00191634" w:rsidRDefault="008247B9" w:rsidP="00DC3F5E">
            <w:pPr>
              <w:pStyle w:val="TableText"/>
            </w:pPr>
          </w:p>
        </w:tc>
        <w:tc>
          <w:tcPr>
            <w:tcW w:w="1991" w:type="dxa"/>
          </w:tcPr>
          <w:p w14:paraId="233F6149" w14:textId="77777777" w:rsidR="008247B9" w:rsidRPr="00191634" w:rsidRDefault="008247B9" w:rsidP="00DC3F5E">
            <w:pPr>
              <w:pStyle w:val="TableText"/>
            </w:pPr>
          </w:p>
        </w:tc>
        <w:tc>
          <w:tcPr>
            <w:tcW w:w="1991" w:type="dxa"/>
          </w:tcPr>
          <w:p w14:paraId="774DED54" w14:textId="77777777" w:rsidR="008247B9" w:rsidRPr="00191634" w:rsidRDefault="008247B9" w:rsidP="00DC3F5E">
            <w:pPr>
              <w:pStyle w:val="TableText"/>
            </w:pPr>
          </w:p>
        </w:tc>
        <w:tc>
          <w:tcPr>
            <w:tcW w:w="1992" w:type="dxa"/>
          </w:tcPr>
          <w:p w14:paraId="5183EF02" w14:textId="534E20D2" w:rsidR="008247B9" w:rsidRPr="00191634" w:rsidRDefault="008247B9" w:rsidP="00DC3F5E">
            <w:pPr>
              <w:pStyle w:val="TableText"/>
            </w:pPr>
          </w:p>
        </w:tc>
      </w:tr>
    </w:tbl>
    <w:bookmarkEnd w:id="6"/>
    <w:p w14:paraId="0D437197" w14:textId="77777777" w:rsidR="00191634" w:rsidRPr="00191634" w:rsidRDefault="00191634" w:rsidP="00E9697D">
      <w:pPr>
        <w:pStyle w:val="Heading2"/>
      </w:pPr>
      <w:r w:rsidRPr="00191634">
        <w:t xml:space="preserve">Document Information </w:t>
      </w:r>
    </w:p>
    <w:tbl>
      <w:tblPr>
        <w:tblStyle w:val="TableGrid"/>
        <w:tblW w:w="9606" w:type="dxa"/>
        <w:tblLook w:val="04A0" w:firstRow="1" w:lastRow="0" w:firstColumn="1" w:lastColumn="0" w:noHBand="0" w:noVBand="1"/>
      </w:tblPr>
      <w:tblGrid>
        <w:gridCol w:w="2943"/>
        <w:gridCol w:w="6663"/>
      </w:tblGrid>
      <w:tr w:rsidR="00191634" w:rsidRPr="00191634" w14:paraId="4F9CADE7" w14:textId="77777777" w:rsidTr="008247B9">
        <w:trPr>
          <w:trHeight w:val="397"/>
        </w:trPr>
        <w:tc>
          <w:tcPr>
            <w:tcW w:w="2943" w:type="dxa"/>
            <w:vAlign w:val="center"/>
          </w:tcPr>
          <w:p w14:paraId="6F69770F" w14:textId="77777777" w:rsidR="00191634" w:rsidRPr="00191634" w:rsidRDefault="00191634" w:rsidP="008247B9">
            <w:pPr>
              <w:pStyle w:val="TableText"/>
            </w:pPr>
            <w:r w:rsidRPr="00191634">
              <w:t>Document owner:</w:t>
            </w:r>
          </w:p>
        </w:tc>
        <w:tc>
          <w:tcPr>
            <w:tcW w:w="6663" w:type="dxa"/>
            <w:vAlign w:val="center"/>
          </w:tcPr>
          <w:p w14:paraId="3C09660C" w14:textId="77777777" w:rsidR="00191634" w:rsidRPr="00191634" w:rsidRDefault="00191634" w:rsidP="008247B9">
            <w:pPr>
              <w:pStyle w:val="TableText"/>
            </w:pPr>
            <w:r w:rsidRPr="00191634">
              <w:t>Named point of contact for Party 1, detailed in section 9.</w:t>
            </w:r>
          </w:p>
        </w:tc>
      </w:tr>
      <w:tr w:rsidR="00191634" w:rsidRPr="00191634" w14:paraId="26034791" w14:textId="77777777" w:rsidTr="008247B9">
        <w:trPr>
          <w:trHeight w:val="397"/>
        </w:trPr>
        <w:tc>
          <w:tcPr>
            <w:tcW w:w="2943" w:type="dxa"/>
            <w:vAlign w:val="center"/>
          </w:tcPr>
          <w:p w14:paraId="48C86510" w14:textId="77777777" w:rsidR="00191634" w:rsidRPr="00191634" w:rsidRDefault="00191634" w:rsidP="008247B9">
            <w:pPr>
              <w:pStyle w:val="TableText"/>
            </w:pPr>
            <w:r w:rsidRPr="00191634">
              <w:t xml:space="preserve">Next review date: </w:t>
            </w:r>
          </w:p>
        </w:tc>
        <w:tc>
          <w:tcPr>
            <w:tcW w:w="6663" w:type="dxa"/>
            <w:vAlign w:val="center"/>
          </w:tcPr>
          <w:p w14:paraId="4AD9F11A" w14:textId="20A1909A" w:rsidR="00191634" w:rsidRPr="00191634" w:rsidRDefault="00191634" w:rsidP="008247B9">
            <w:pPr>
              <w:pStyle w:val="TableText"/>
            </w:pPr>
          </w:p>
        </w:tc>
      </w:tr>
      <w:tr w:rsidR="00191634" w:rsidRPr="00191634" w14:paraId="243A0441" w14:textId="77777777" w:rsidTr="008247B9">
        <w:trPr>
          <w:trHeight w:val="397"/>
        </w:trPr>
        <w:tc>
          <w:tcPr>
            <w:tcW w:w="2943" w:type="dxa"/>
            <w:vAlign w:val="center"/>
          </w:tcPr>
          <w:p w14:paraId="66DD4656" w14:textId="77777777" w:rsidR="00191634" w:rsidRPr="00191634" w:rsidRDefault="00191634" w:rsidP="008247B9">
            <w:pPr>
              <w:pStyle w:val="TableText"/>
            </w:pPr>
            <w:r w:rsidRPr="00191634">
              <w:t>Version:</w:t>
            </w:r>
          </w:p>
        </w:tc>
        <w:tc>
          <w:tcPr>
            <w:tcW w:w="6663" w:type="dxa"/>
            <w:vAlign w:val="center"/>
          </w:tcPr>
          <w:p w14:paraId="51E04814" w14:textId="7135262E" w:rsidR="00191634" w:rsidRPr="00191634" w:rsidRDefault="00191634" w:rsidP="008247B9">
            <w:pPr>
              <w:pStyle w:val="TableText"/>
            </w:pPr>
          </w:p>
        </w:tc>
      </w:tr>
      <w:tr w:rsidR="00191634" w:rsidRPr="00191634" w14:paraId="13F281A6" w14:textId="77777777" w:rsidTr="008247B9">
        <w:trPr>
          <w:trHeight w:val="397"/>
        </w:trPr>
        <w:tc>
          <w:tcPr>
            <w:tcW w:w="2943" w:type="dxa"/>
            <w:vAlign w:val="center"/>
          </w:tcPr>
          <w:p w14:paraId="60C1F50C" w14:textId="77777777" w:rsidR="00191634" w:rsidRPr="00191634" w:rsidRDefault="00191634" w:rsidP="008247B9">
            <w:pPr>
              <w:pStyle w:val="TableText"/>
            </w:pPr>
            <w:r w:rsidRPr="00191634">
              <w:t>Summary of changes:</w:t>
            </w:r>
          </w:p>
        </w:tc>
        <w:tc>
          <w:tcPr>
            <w:tcW w:w="6663" w:type="dxa"/>
            <w:vAlign w:val="center"/>
          </w:tcPr>
          <w:p w14:paraId="0BE2B97C" w14:textId="1F06A26E" w:rsidR="00191634" w:rsidRPr="00191634" w:rsidRDefault="00191634" w:rsidP="008247B9">
            <w:pPr>
              <w:pStyle w:val="TableText"/>
              <w:rPr>
                <w:b/>
              </w:rPr>
            </w:pPr>
          </w:p>
        </w:tc>
      </w:tr>
    </w:tbl>
    <w:p w14:paraId="5964683D" w14:textId="77777777" w:rsidR="00191634" w:rsidRPr="00191634" w:rsidRDefault="00191634" w:rsidP="00E9697D"/>
    <w:p w14:paraId="7BFFC911" w14:textId="77777777" w:rsidR="00191634" w:rsidRPr="00191634" w:rsidRDefault="00191634" w:rsidP="00191634">
      <w:pPr>
        <w:pStyle w:val="Clause"/>
      </w:pPr>
      <w:r w:rsidRPr="00191634">
        <w:br w:type="page"/>
      </w:r>
    </w:p>
    <w:p w14:paraId="1ED19A5F" w14:textId="084A94C4" w:rsidR="00191634" w:rsidRDefault="00191634" w:rsidP="00E9697D">
      <w:pPr>
        <w:pStyle w:val="Heading1"/>
      </w:pPr>
      <w:r w:rsidRPr="00191634">
        <w:lastRenderedPageBreak/>
        <w:t>Appendix – Additional information on Shared Personal Data and agreed Processing Restrictions</w:t>
      </w:r>
    </w:p>
    <w:p w14:paraId="3039DEEC" w14:textId="3729D4A8" w:rsidR="00E9697D" w:rsidRDefault="00E9697D" w:rsidP="00E9697D">
      <w:pPr>
        <w:rPr>
          <w:lang w:eastAsia="en-US"/>
        </w:rPr>
      </w:pPr>
    </w:p>
    <w:p w14:paraId="234BD6F3" w14:textId="77777777" w:rsidR="009F7107" w:rsidRDefault="009F7107" w:rsidP="009F7107"/>
    <w:p w14:paraId="33E656B8" w14:textId="77777777" w:rsidR="001C2C70" w:rsidRDefault="001C2C70" w:rsidP="009F7107"/>
    <w:sectPr w:rsidR="001C2C70" w:rsidSect="009F7107">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C64B" w14:textId="77777777" w:rsidR="00F50FB4" w:rsidRDefault="00F50FB4" w:rsidP="00866194">
      <w:pPr>
        <w:spacing w:after="0" w:line="240" w:lineRule="auto"/>
      </w:pPr>
      <w:r>
        <w:separator/>
      </w:r>
    </w:p>
  </w:endnote>
  <w:endnote w:type="continuationSeparator" w:id="0">
    <w:p w14:paraId="206A1B36" w14:textId="77777777" w:rsidR="00F50FB4" w:rsidRDefault="00F50FB4" w:rsidP="0086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8D20" w14:textId="77777777" w:rsidR="008247B9" w:rsidRDefault="00824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val="0"/>
      </w:rPr>
      <w:id w:val="-1289272537"/>
      <w:docPartObj>
        <w:docPartGallery w:val="Page Numbers (Bottom of Page)"/>
        <w:docPartUnique/>
      </w:docPartObj>
    </w:sdtPr>
    <w:sdtEndPr>
      <w:rPr>
        <w:noProof/>
        <w:sz w:val="2"/>
        <w:szCs w:val="2"/>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3241"/>
          <w:gridCol w:w="3274"/>
        </w:tblGrid>
        <w:tr w:rsidR="0030355E" w14:paraId="7615C919" w14:textId="77777777" w:rsidTr="0030355E">
          <w:trPr>
            <w:trHeight w:val="20"/>
          </w:trPr>
          <w:tc>
            <w:tcPr>
              <w:tcW w:w="3485" w:type="dxa"/>
            </w:tcPr>
            <w:p w14:paraId="3CD62CEF" w14:textId="3F0DC964" w:rsidR="0030355E" w:rsidRDefault="0030355E" w:rsidP="0030355E">
              <w:pPr>
                <w:pStyle w:val="Footer"/>
                <w:spacing w:after="0" w:line="240" w:lineRule="auto"/>
                <w:jc w:val="center"/>
              </w:pPr>
            </w:p>
          </w:tc>
          <w:tc>
            <w:tcPr>
              <w:tcW w:w="3485" w:type="dxa"/>
            </w:tcPr>
            <w:p w14:paraId="7F86AD41" w14:textId="2C7DAB68" w:rsidR="0030355E" w:rsidRDefault="0030355E" w:rsidP="0030355E">
              <w:pPr>
                <w:pStyle w:val="Footer"/>
                <w:spacing w:after="0" w:line="240" w:lineRule="auto"/>
                <w:jc w:val="center"/>
              </w:pPr>
              <w:r>
                <w:fldChar w:fldCharType="begin"/>
              </w:r>
              <w:r>
                <w:instrText xml:space="preserve"> PAGE   \* MERGEFORMAT </w:instrText>
              </w:r>
              <w:r>
                <w:fldChar w:fldCharType="separate"/>
              </w:r>
              <w:r>
                <w:t>6</w:t>
              </w:r>
              <w:r>
                <w:rPr>
                  <w:noProof/>
                </w:rPr>
                <w:fldChar w:fldCharType="end"/>
              </w:r>
            </w:p>
          </w:tc>
          <w:tc>
            <w:tcPr>
              <w:tcW w:w="3486" w:type="dxa"/>
              <w:vAlign w:val="center"/>
            </w:tcPr>
            <w:p w14:paraId="6CB1A50D" w14:textId="6651F124" w:rsidR="0030355E" w:rsidRDefault="0030355E" w:rsidP="0030355E">
              <w:pPr>
                <w:pStyle w:val="Footer"/>
                <w:spacing w:after="0" w:line="240" w:lineRule="auto"/>
                <w:jc w:val="right"/>
              </w:pPr>
              <w:r w:rsidRPr="0030355E">
                <w:rPr>
                  <w:sz w:val="16"/>
                  <w:szCs w:val="16"/>
                </w:rPr>
                <w:t>(GISPA v5</w:t>
              </w:r>
              <w:r w:rsidR="008247B9">
                <w:rPr>
                  <w:sz w:val="16"/>
                  <w:szCs w:val="16"/>
                </w:rPr>
                <w:t>.1</w:t>
              </w:r>
              <w:r w:rsidRPr="0030355E">
                <w:rPr>
                  <w:sz w:val="16"/>
                  <w:szCs w:val="16"/>
                </w:rPr>
                <w:t xml:space="preserve"> </w:t>
              </w:r>
              <w:r w:rsidR="009F7107">
                <w:rPr>
                  <w:sz w:val="16"/>
                  <w:szCs w:val="16"/>
                </w:rPr>
                <w:t>-</w:t>
              </w:r>
              <w:r w:rsidR="001228FD">
                <w:rPr>
                  <w:sz w:val="16"/>
                  <w:szCs w:val="16"/>
                </w:rPr>
                <w:t xml:space="preserve"> 202</w:t>
              </w:r>
              <w:r w:rsidR="008247B9">
                <w:rPr>
                  <w:sz w:val="16"/>
                  <w:szCs w:val="16"/>
                </w:rPr>
                <w:t>4</w:t>
              </w:r>
              <w:r w:rsidRPr="0030355E">
                <w:rPr>
                  <w:sz w:val="16"/>
                  <w:szCs w:val="16"/>
                </w:rPr>
                <w:t>)</w:t>
              </w:r>
            </w:p>
          </w:tc>
        </w:tr>
      </w:tbl>
      <w:p w14:paraId="177B81AC" w14:textId="0F7DE1DC" w:rsidR="00866194" w:rsidRPr="005A04E3" w:rsidRDefault="0023173A" w:rsidP="005A04E3">
        <w:pPr>
          <w:pStyle w:val="Footer"/>
          <w:rPr>
            <w:sz w:val="2"/>
            <w:szCs w:val="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510B" w14:textId="77777777" w:rsidR="008247B9" w:rsidRDefault="00824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8E0D" w14:textId="77777777" w:rsidR="00F50FB4" w:rsidRDefault="00F50FB4" w:rsidP="00866194">
      <w:pPr>
        <w:spacing w:after="0" w:line="240" w:lineRule="auto"/>
      </w:pPr>
      <w:r>
        <w:separator/>
      </w:r>
    </w:p>
  </w:footnote>
  <w:footnote w:type="continuationSeparator" w:id="0">
    <w:p w14:paraId="4F2ED45C" w14:textId="77777777" w:rsidR="00F50FB4" w:rsidRDefault="00F50FB4" w:rsidP="00866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CBE2" w14:textId="7FB368C3" w:rsidR="007E0D33" w:rsidRDefault="007E0D33">
    <w:pPr>
      <w:pStyle w:val="Header"/>
    </w:pPr>
    <w:r>
      <w:rPr>
        <w:noProof/>
      </w:rPr>
      <mc:AlternateContent>
        <mc:Choice Requires="wps">
          <w:drawing>
            <wp:anchor distT="0" distB="0" distL="0" distR="0" simplePos="0" relativeHeight="251659264" behindDoc="0" locked="0" layoutInCell="1" allowOverlap="1" wp14:anchorId="20C70D68" wp14:editId="73E0875C">
              <wp:simplePos x="635" y="635"/>
              <wp:positionH relativeFrom="page">
                <wp:align>center</wp:align>
              </wp:positionH>
              <wp:positionV relativeFrom="page">
                <wp:align>top</wp:align>
              </wp:positionV>
              <wp:extent cx="443865" cy="443865"/>
              <wp:effectExtent l="0" t="0" r="7620" b="8890"/>
              <wp:wrapNone/>
              <wp:docPr id="824364000" name="Text Box 2"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218A45" w14:textId="68C2658F" w:rsidR="007E0D33" w:rsidRPr="007E0D33" w:rsidRDefault="007E0D33" w:rsidP="007E0D33">
                          <w:pPr>
                            <w:spacing w:after="0"/>
                            <w:rPr>
                              <w:rFonts w:ascii="Calibri" w:eastAsia="Calibri" w:hAnsi="Calibri" w:cs="Calibri"/>
                              <w:noProof/>
                              <w:color w:val="000000"/>
                              <w:sz w:val="20"/>
                              <w:szCs w:val="20"/>
                            </w:rPr>
                          </w:pPr>
                          <w:r w:rsidRPr="007E0D3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C70D68" id="_x0000_t202" coordsize="21600,21600" o:spt="202" path="m,l,21600r21600,l21600,xe">
              <v:stroke joinstyle="miter"/>
              <v:path gradientshapeok="t" o:connecttype="rect"/>
            </v:shapetype>
            <v:shape id="Text Box 2" o:spid="_x0000_s1026" type="#_x0000_t202" alt="Official - Commer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3218A45" w14:textId="68C2658F" w:rsidR="007E0D33" w:rsidRPr="007E0D33" w:rsidRDefault="007E0D33" w:rsidP="007E0D33">
                    <w:pPr>
                      <w:spacing w:after="0"/>
                      <w:rPr>
                        <w:rFonts w:ascii="Calibri" w:eastAsia="Calibri" w:hAnsi="Calibri" w:cs="Calibri"/>
                        <w:noProof/>
                        <w:color w:val="000000"/>
                        <w:sz w:val="20"/>
                        <w:szCs w:val="20"/>
                      </w:rPr>
                    </w:pPr>
                    <w:r w:rsidRPr="007E0D3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A0F0" w14:textId="63382C10" w:rsidR="007E0D33" w:rsidRDefault="007E0D33">
    <w:pPr>
      <w:pStyle w:val="Header"/>
    </w:pPr>
    <w:r>
      <w:rPr>
        <w:noProof/>
      </w:rPr>
      <mc:AlternateContent>
        <mc:Choice Requires="wps">
          <w:drawing>
            <wp:anchor distT="0" distB="0" distL="0" distR="0" simplePos="0" relativeHeight="251660288" behindDoc="0" locked="0" layoutInCell="1" allowOverlap="1" wp14:anchorId="7CFF5234" wp14:editId="62D9B3EC">
              <wp:simplePos x="635" y="635"/>
              <wp:positionH relativeFrom="page">
                <wp:align>center</wp:align>
              </wp:positionH>
              <wp:positionV relativeFrom="page">
                <wp:align>top</wp:align>
              </wp:positionV>
              <wp:extent cx="443865" cy="443865"/>
              <wp:effectExtent l="0" t="0" r="7620" b="8890"/>
              <wp:wrapNone/>
              <wp:docPr id="1417929759" name="Text Box 3"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260AC5" w14:textId="0777D700" w:rsidR="007E0D33" w:rsidRPr="007E0D33" w:rsidRDefault="007E0D33" w:rsidP="007E0D33">
                          <w:pPr>
                            <w:spacing w:after="0"/>
                            <w:rPr>
                              <w:rFonts w:ascii="Calibri" w:eastAsia="Calibri" w:hAnsi="Calibri" w:cs="Calibri"/>
                              <w:noProof/>
                              <w:color w:val="000000"/>
                              <w:sz w:val="20"/>
                              <w:szCs w:val="20"/>
                            </w:rPr>
                          </w:pPr>
                          <w:r w:rsidRPr="007E0D3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FF5234" id="_x0000_t202" coordsize="21600,21600" o:spt="202" path="m,l,21600r21600,l21600,xe">
              <v:stroke joinstyle="miter"/>
              <v:path gradientshapeok="t" o:connecttype="rect"/>
            </v:shapetype>
            <v:shape id="Text Box 3" o:spid="_x0000_s1027" type="#_x0000_t202" alt="Official -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D260AC5" w14:textId="0777D700" w:rsidR="007E0D33" w:rsidRPr="007E0D33" w:rsidRDefault="007E0D33" w:rsidP="007E0D33">
                    <w:pPr>
                      <w:spacing w:after="0"/>
                      <w:rPr>
                        <w:rFonts w:ascii="Calibri" w:eastAsia="Calibri" w:hAnsi="Calibri" w:cs="Calibri"/>
                        <w:noProof/>
                        <w:color w:val="000000"/>
                        <w:sz w:val="20"/>
                        <w:szCs w:val="20"/>
                      </w:rPr>
                    </w:pPr>
                    <w:r w:rsidRPr="007E0D3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E98E" w14:textId="12CA7DB3" w:rsidR="007E0D33" w:rsidRDefault="007E0D33">
    <w:pPr>
      <w:pStyle w:val="Header"/>
    </w:pPr>
    <w:r>
      <w:rPr>
        <w:noProof/>
      </w:rPr>
      <mc:AlternateContent>
        <mc:Choice Requires="wps">
          <w:drawing>
            <wp:anchor distT="0" distB="0" distL="0" distR="0" simplePos="0" relativeHeight="251658240" behindDoc="0" locked="0" layoutInCell="1" allowOverlap="1" wp14:anchorId="7D44ECA7" wp14:editId="4AA4F28F">
              <wp:simplePos x="635" y="635"/>
              <wp:positionH relativeFrom="page">
                <wp:align>center</wp:align>
              </wp:positionH>
              <wp:positionV relativeFrom="page">
                <wp:align>top</wp:align>
              </wp:positionV>
              <wp:extent cx="443865" cy="443865"/>
              <wp:effectExtent l="0" t="0" r="7620" b="8890"/>
              <wp:wrapNone/>
              <wp:docPr id="511603611" name="Text Box 1"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A1C96B" w14:textId="6EB8C624" w:rsidR="007E0D33" w:rsidRPr="007E0D33" w:rsidRDefault="007E0D33" w:rsidP="007E0D33">
                          <w:pPr>
                            <w:spacing w:after="0"/>
                            <w:rPr>
                              <w:rFonts w:ascii="Calibri" w:eastAsia="Calibri" w:hAnsi="Calibri" w:cs="Calibri"/>
                              <w:noProof/>
                              <w:color w:val="000000"/>
                              <w:sz w:val="20"/>
                              <w:szCs w:val="20"/>
                            </w:rPr>
                          </w:pPr>
                          <w:r w:rsidRPr="007E0D3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44ECA7" id="_x0000_t202" coordsize="21600,21600" o:spt="202" path="m,l,21600r21600,l21600,xe">
              <v:stroke joinstyle="miter"/>
              <v:path gradientshapeok="t" o:connecttype="rect"/>
            </v:shapetype>
            <v:shape id="Text Box 1" o:spid="_x0000_s1028" type="#_x0000_t202" alt="Official -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9A1C96B" w14:textId="6EB8C624" w:rsidR="007E0D33" w:rsidRPr="007E0D33" w:rsidRDefault="007E0D33" w:rsidP="007E0D33">
                    <w:pPr>
                      <w:spacing w:after="0"/>
                      <w:rPr>
                        <w:rFonts w:ascii="Calibri" w:eastAsia="Calibri" w:hAnsi="Calibri" w:cs="Calibri"/>
                        <w:noProof/>
                        <w:color w:val="000000"/>
                        <w:sz w:val="20"/>
                        <w:szCs w:val="20"/>
                      </w:rPr>
                    </w:pPr>
                    <w:r w:rsidRPr="007E0D3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2C35"/>
    <w:multiLevelType w:val="hybridMultilevel"/>
    <w:tmpl w:val="98E06EC8"/>
    <w:lvl w:ilvl="0" w:tplc="50E615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E78A8"/>
    <w:multiLevelType w:val="hybridMultilevel"/>
    <w:tmpl w:val="1B9462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BE2D34"/>
    <w:multiLevelType w:val="hybridMultilevel"/>
    <w:tmpl w:val="A694F3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B006C9"/>
    <w:multiLevelType w:val="multilevel"/>
    <w:tmpl w:val="378EA9D6"/>
    <w:lvl w:ilvl="0">
      <w:start w:val="1"/>
      <w:numFmt w:val="none"/>
      <w:pStyle w:val="Heading1"/>
      <w:lvlText w:val=""/>
      <w:lvlJc w:val="left"/>
      <w:pPr>
        <w:ind w:left="0" w:firstLine="0"/>
      </w:pPr>
      <w:rPr>
        <w:rFonts w:hint="default"/>
      </w:rPr>
    </w:lvl>
    <w:lvl w:ilvl="1">
      <w:start w:val="1"/>
      <w:numFmt w:val="decimal"/>
      <w:pStyle w:val="Heading2"/>
      <w:lvlText w:val="%2."/>
      <w:lvlJc w:val="left"/>
      <w:pPr>
        <w:ind w:left="737" w:hanging="737"/>
      </w:pPr>
      <w:rPr>
        <w:rFonts w:hint="default"/>
      </w:rPr>
    </w:lvl>
    <w:lvl w:ilvl="2">
      <w:start w:val="1"/>
      <w:numFmt w:val="decimal"/>
      <w:pStyle w:val="Clause"/>
      <w:lvlText w:val="%2.%3"/>
      <w:lvlJc w:val="left"/>
      <w:pPr>
        <w:ind w:left="737" w:hanging="737"/>
      </w:pPr>
      <w:rPr>
        <w:rFonts w:hint="default"/>
      </w:rPr>
    </w:lvl>
    <w:lvl w:ilvl="3">
      <w:start w:val="1"/>
      <w:numFmt w:val="decimal"/>
      <w:pStyle w:val="Sub-clause"/>
      <w:lvlText w:val="%2.%3.%4"/>
      <w:lvlJc w:val="left"/>
      <w:pPr>
        <w:ind w:left="737" w:hanging="737"/>
      </w:pPr>
      <w:rPr>
        <w:rFonts w:hint="default"/>
      </w:rPr>
    </w:lvl>
    <w:lvl w:ilvl="4">
      <w:start w:val="1"/>
      <w:numFmt w:val="lowerLetter"/>
      <w:pStyle w:val="Bullets"/>
      <w:lvlText w:val="%5)"/>
      <w:lvlJc w:val="left"/>
      <w:pPr>
        <w:ind w:left="1077" w:hanging="340"/>
      </w:pPr>
      <w:rPr>
        <w:rFonts w:hint="default"/>
      </w:rPr>
    </w:lvl>
    <w:lvl w:ilvl="5">
      <w:start w:val="1"/>
      <w:numFmt w:val="lowerRoman"/>
      <w:pStyle w:val="Sub-bullet"/>
      <w:lvlText w:val="%6)"/>
      <w:lvlJc w:val="left"/>
      <w:pPr>
        <w:tabs>
          <w:tab w:val="num" w:pos="1191"/>
        </w:tabs>
        <w:ind w:left="1531" w:hanging="340"/>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 w15:restartNumberingAfterBreak="0">
    <w:nsid w:val="53B86F7B"/>
    <w:multiLevelType w:val="multilevel"/>
    <w:tmpl w:val="1F7050BC"/>
    <w:lvl w:ilvl="0">
      <w:start w:val="1"/>
      <w:numFmt w:val="decimal"/>
      <w:lvlText w:val="%1."/>
      <w:lvlJc w:val="left"/>
      <w:pPr>
        <w:tabs>
          <w:tab w:val="num" w:pos="720"/>
        </w:tabs>
        <w:ind w:left="720" w:hanging="720"/>
      </w:pPr>
    </w:lvl>
    <w:lvl w:ilvl="1">
      <w:start w:val="1"/>
      <w:numFmt w:val="decimal"/>
      <w:pStyle w:val="AppendicesHeading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2C5647"/>
    <w:multiLevelType w:val="hybridMultilevel"/>
    <w:tmpl w:val="1CFE82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984019"/>
    <w:multiLevelType w:val="hybridMultilevel"/>
    <w:tmpl w:val="4C14EBE8"/>
    <w:lvl w:ilvl="0" w:tplc="CC1620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AC709D"/>
    <w:multiLevelType w:val="multilevel"/>
    <w:tmpl w:val="A5380982"/>
    <w:lvl w:ilvl="0">
      <w:start w:val="1"/>
      <w:numFmt w:val="decimal"/>
      <w:lvlText w:val="%1.0"/>
      <w:lvlJc w:val="left"/>
      <w:pPr>
        <w:ind w:left="567" w:hanging="567"/>
      </w:pPr>
      <w:rPr>
        <w:rFonts w:hint="default"/>
        <w:b w:val="0"/>
        <w:bCs w:val="0"/>
        <w:color w:val="0054A4"/>
        <w:sz w:val="32"/>
        <w:szCs w:val="32"/>
      </w:rPr>
    </w:lvl>
    <w:lvl w:ilvl="1">
      <w:start w:val="1"/>
      <w:numFmt w:val="decimal"/>
      <w:lvlText w:val="%1.%2"/>
      <w:lvlJc w:val="left"/>
      <w:pPr>
        <w:ind w:left="567" w:hanging="567"/>
      </w:pPr>
      <w:rPr>
        <w:rFonts w:hint="default"/>
        <w:color w:val="0054A4"/>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8" w15:restartNumberingAfterBreak="0">
    <w:nsid w:val="76044724"/>
    <w:multiLevelType w:val="hybridMultilevel"/>
    <w:tmpl w:val="43A450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3424418">
    <w:abstractNumId w:val="6"/>
  </w:num>
  <w:num w:numId="2" w16cid:durableId="739598391">
    <w:abstractNumId w:val="6"/>
  </w:num>
  <w:num w:numId="3" w16cid:durableId="572083526">
    <w:abstractNumId w:val="7"/>
  </w:num>
  <w:num w:numId="4" w16cid:durableId="225651335">
    <w:abstractNumId w:val="7"/>
  </w:num>
  <w:num w:numId="5" w16cid:durableId="1606646163">
    <w:abstractNumId w:val="7"/>
  </w:num>
  <w:num w:numId="6" w16cid:durableId="1587835704">
    <w:abstractNumId w:val="7"/>
  </w:num>
  <w:num w:numId="7" w16cid:durableId="207030323">
    <w:abstractNumId w:val="7"/>
  </w:num>
  <w:num w:numId="8" w16cid:durableId="810054866">
    <w:abstractNumId w:val="0"/>
  </w:num>
  <w:num w:numId="9" w16cid:durableId="1800342449">
    <w:abstractNumId w:val="7"/>
  </w:num>
  <w:num w:numId="10" w16cid:durableId="643850456">
    <w:abstractNumId w:val="7"/>
  </w:num>
  <w:num w:numId="11" w16cid:durableId="1919094155">
    <w:abstractNumId w:val="7"/>
  </w:num>
  <w:num w:numId="12" w16cid:durableId="993945758">
    <w:abstractNumId w:val="7"/>
  </w:num>
  <w:num w:numId="13" w16cid:durableId="982200820">
    <w:abstractNumId w:val="7"/>
  </w:num>
  <w:num w:numId="14" w16cid:durableId="430441041">
    <w:abstractNumId w:val="0"/>
  </w:num>
  <w:num w:numId="15" w16cid:durableId="1739130681">
    <w:abstractNumId w:val="4"/>
  </w:num>
  <w:num w:numId="16" w16cid:durableId="947395377">
    <w:abstractNumId w:val="3"/>
  </w:num>
  <w:num w:numId="17" w16cid:durableId="583152754">
    <w:abstractNumId w:val="3"/>
  </w:num>
  <w:num w:numId="18" w16cid:durableId="1501038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56066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4137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1394867">
    <w:abstractNumId w:val="5"/>
  </w:num>
  <w:num w:numId="22" w16cid:durableId="1898709788">
    <w:abstractNumId w:val="8"/>
  </w:num>
  <w:num w:numId="23" w16cid:durableId="244800388">
    <w:abstractNumId w:val="1"/>
  </w:num>
  <w:num w:numId="24" w16cid:durableId="1478256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91"/>
    <w:rsid w:val="00033894"/>
    <w:rsid w:val="00051429"/>
    <w:rsid w:val="00051ADA"/>
    <w:rsid w:val="00055E37"/>
    <w:rsid w:val="000C2730"/>
    <w:rsid w:val="000E19B0"/>
    <w:rsid w:val="001038B3"/>
    <w:rsid w:val="00105AA8"/>
    <w:rsid w:val="00117D47"/>
    <w:rsid w:val="001228FD"/>
    <w:rsid w:val="00191634"/>
    <w:rsid w:val="0019314F"/>
    <w:rsid w:val="001A60E4"/>
    <w:rsid w:val="001A7B60"/>
    <w:rsid w:val="001B1252"/>
    <w:rsid w:val="001B58FA"/>
    <w:rsid w:val="001B7EEB"/>
    <w:rsid w:val="001C2C70"/>
    <w:rsid w:val="00207875"/>
    <w:rsid w:val="0023173A"/>
    <w:rsid w:val="00270B10"/>
    <w:rsid w:val="0028198B"/>
    <w:rsid w:val="00295662"/>
    <w:rsid w:val="002A1D45"/>
    <w:rsid w:val="002F6057"/>
    <w:rsid w:val="0030355E"/>
    <w:rsid w:val="00312C6C"/>
    <w:rsid w:val="00327B0B"/>
    <w:rsid w:val="0033262F"/>
    <w:rsid w:val="00355613"/>
    <w:rsid w:val="00362655"/>
    <w:rsid w:val="0037377B"/>
    <w:rsid w:val="003753CC"/>
    <w:rsid w:val="00401C55"/>
    <w:rsid w:val="00410881"/>
    <w:rsid w:val="00412BE0"/>
    <w:rsid w:val="00423BE7"/>
    <w:rsid w:val="00472378"/>
    <w:rsid w:val="004828B7"/>
    <w:rsid w:val="00491152"/>
    <w:rsid w:val="004911C7"/>
    <w:rsid w:val="004A082F"/>
    <w:rsid w:val="004A7B0E"/>
    <w:rsid w:val="004C15CF"/>
    <w:rsid w:val="004F7230"/>
    <w:rsid w:val="005110D9"/>
    <w:rsid w:val="00542CF3"/>
    <w:rsid w:val="005849C2"/>
    <w:rsid w:val="00597718"/>
    <w:rsid w:val="005A04E3"/>
    <w:rsid w:val="005D28C9"/>
    <w:rsid w:val="006033B0"/>
    <w:rsid w:val="00627ECF"/>
    <w:rsid w:val="00630ECB"/>
    <w:rsid w:val="006322D0"/>
    <w:rsid w:val="00642E6E"/>
    <w:rsid w:val="00643DE6"/>
    <w:rsid w:val="00653CAD"/>
    <w:rsid w:val="00657A06"/>
    <w:rsid w:val="0066384B"/>
    <w:rsid w:val="00672991"/>
    <w:rsid w:val="00696BE4"/>
    <w:rsid w:val="006F3662"/>
    <w:rsid w:val="00730076"/>
    <w:rsid w:val="00753BC9"/>
    <w:rsid w:val="00762837"/>
    <w:rsid w:val="007A5970"/>
    <w:rsid w:val="007B73C9"/>
    <w:rsid w:val="007C1991"/>
    <w:rsid w:val="007C4C0B"/>
    <w:rsid w:val="007E0D33"/>
    <w:rsid w:val="00822510"/>
    <w:rsid w:val="008247B9"/>
    <w:rsid w:val="00825DF3"/>
    <w:rsid w:val="00855499"/>
    <w:rsid w:val="00866194"/>
    <w:rsid w:val="008A0528"/>
    <w:rsid w:val="008A3593"/>
    <w:rsid w:val="008D27B4"/>
    <w:rsid w:val="008F1A6B"/>
    <w:rsid w:val="008F50D9"/>
    <w:rsid w:val="008F510D"/>
    <w:rsid w:val="009101A1"/>
    <w:rsid w:val="009101A4"/>
    <w:rsid w:val="00910664"/>
    <w:rsid w:val="009331F3"/>
    <w:rsid w:val="009A4C0E"/>
    <w:rsid w:val="009D45C9"/>
    <w:rsid w:val="009F079E"/>
    <w:rsid w:val="009F7107"/>
    <w:rsid w:val="00A107B8"/>
    <w:rsid w:val="00A206B9"/>
    <w:rsid w:val="00A830B9"/>
    <w:rsid w:val="00AA764C"/>
    <w:rsid w:val="00AB450C"/>
    <w:rsid w:val="00B07505"/>
    <w:rsid w:val="00B134FC"/>
    <w:rsid w:val="00B64410"/>
    <w:rsid w:val="00B66DD0"/>
    <w:rsid w:val="00B94DF9"/>
    <w:rsid w:val="00BA0C32"/>
    <w:rsid w:val="00BE1853"/>
    <w:rsid w:val="00C37338"/>
    <w:rsid w:val="00C45F88"/>
    <w:rsid w:val="00C538C7"/>
    <w:rsid w:val="00C57A8C"/>
    <w:rsid w:val="00C8103D"/>
    <w:rsid w:val="00CA1400"/>
    <w:rsid w:val="00CA30B1"/>
    <w:rsid w:val="00CB1F75"/>
    <w:rsid w:val="00CB7B60"/>
    <w:rsid w:val="00CD356D"/>
    <w:rsid w:val="00CE5F73"/>
    <w:rsid w:val="00D25E35"/>
    <w:rsid w:val="00D41BAB"/>
    <w:rsid w:val="00D516F2"/>
    <w:rsid w:val="00D67E23"/>
    <w:rsid w:val="00DB399F"/>
    <w:rsid w:val="00DF6925"/>
    <w:rsid w:val="00E03C3C"/>
    <w:rsid w:val="00E9697D"/>
    <w:rsid w:val="00EA2EEA"/>
    <w:rsid w:val="00EE0287"/>
    <w:rsid w:val="00F2266C"/>
    <w:rsid w:val="00F30072"/>
    <w:rsid w:val="00F423F0"/>
    <w:rsid w:val="00F50FB4"/>
    <w:rsid w:val="00F706EB"/>
    <w:rsid w:val="00F75A28"/>
    <w:rsid w:val="00F82E30"/>
    <w:rsid w:val="00F932A2"/>
    <w:rsid w:val="00F949CD"/>
    <w:rsid w:val="00FB40F3"/>
    <w:rsid w:val="00FC068B"/>
    <w:rsid w:val="00FF4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94617"/>
  <w15:chartTrackingRefBased/>
  <w15:docId w15:val="{08A5EFA4-79DC-4BC3-85F0-358C905F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8" w:unhideWhenUsed="1"/>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7"/>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51ADA"/>
    <w:pPr>
      <w:spacing w:after="120" w:line="252" w:lineRule="auto"/>
      <w:jc w:val="both"/>
    </w:pPr>
    <w:rPr>
      <w:rFonts w:ascii="Arial" w:hAnsi="Arial"/>
      <w:bCs w:val="0"/>
      <w:sz w:val="24"/>
      <w:szCs w:val="24"/>
      <w:lang w:eastAsia="en-GB"/>
    </w:rPr>
  </w:style>
  <w:style w:type="paragraph" w:styleId="Heading1">
    <w:name w:val="heading 1"/>
    <w:basedOn w:val="Normal"/>
    <w:next w:val="Normal"/>
    <w:link w:val="Heading1Char"/>
    <w:qFormat/>
    <w:rsid w:val="00A206B9"/>
    <w:pPr>
      <w:keepNext/>
      <w:keepLines/>
      <w:numPr>
        <w:numId w:val="17"/>
      </w:numPr>
      <w:outlineLvl w:val="0"/>
    </w:pPr>
    <w:rPr>
      <w:rFonts w:eastAsiaTheme="majorEastAsia" w:cstheme="majorBidi"/>
      <w:b/>
      <w:bCs/>
      <w:caps/>
      <w:kern w:val="28"/>
      <w:sz w:val="28"/>
      <w:szCs w:val="28"/>
      <w:lang w:eastAsia="en-US"/>
    </w:rPr>
  </w:style>
  <w:style w:type="paragraph" w:styleId="Heading2">
    <w:name w:val="heading 2"/>
    <w:basedOn w:val="Normal"/>
    <w:next w:val="Normal"/>
    <w:link w:val="Heading2Char"/>
    <w:uiPriority w:val="1"/>
    <w:qFormat/>
    <w:rsid w:val="00FF44A8"/>
    <w:pPr>
      <w:numPr>
        <w:ilvl w:val="1"/>
        <w:numId w:val="17"/>
      </w:numPr>
      <w:spacing w:before="240"/>
      <w:outlineLvl w:val="1"/>
    </w:pPr>
    <w:rPr>
      <w:b/>
      <w:bCs/>
      <w:sz w:val="28"/>
      <w:szCs w:val="28"/>
    </w:rPr>
  </w:style>
  <w:style w:type="paragraph" w:styleId="Heading3">
    <w:name w:val="heading 3"/>
    <w:basedOn w:val="Normal"/>
    <w:next w:val="Normal"/>
    <w:link w:val="Heading3Char"/>
    <w:uiPriority w:val="9"/>
    <w:semiHidden/>
    <w:rsid w:val="001A7B60"/>
    <w:pPr>
      <w:keepNext/>
      <w:keepLines/>
      <w:spacing w:before="120"/>
      <w:outlineLvl w:val="2"/>
    </w:pPr>
    <w:rPr>
      <w:rFonts w:eastAsiaTheme="majorEastAsia" w:cstheme="majorBidi"/>
      <w:b/>
      <w:bCs/>
      <w:color w:val="0054A4"/>
      <w:szCs w:val="22"/>
      <w:lang w:eastAsia="en-US"/>
    </w:rPr>
  </w:style>
  <w:style w:type="paragraph" w:styleId="Heading4">
    <w:name w:val="heading 4"/>
    <w:basedOn w:val="Normal"/>
    <w:next w:val="Normal"/>
    <w:link w:val="Heading4Char"/>
    <w:uiPriority w:val="9"/>
    <w:semiHidden/>
    <w:rsid w:val="001A7B6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6B9"/>
    <w:rPr>
      <w:rFonts w:ascii="Arial" w:eastAsiaTheme="majorEastAsia" w:hAnsi="Arial" w:cstheme="majorBidi"/>
      <w:b/>
      <w:caps/>
      <w:kern w:val="28"/>
      <w:sz w:val="28"/>
      <w:szCs w:val="28"/>
    </w:rPr>
  </w:style>
  <w:style w:type="character" w:customStyle="1" w:styleId="Heading2Char">
    <w:name w:val="Heading 2 Char"/>
    <w:basedOn w:val="DefaultParagraphFont"/>
    <w:link w:val="Heading2"/>
    <w:uiPriority w:val="1"/>
    <w:rsid w:val="00FF44A8"/>
    <w:rPr>
      <w:rFonts w:ascii="Arial" w:hAnsi="Arial"/>
      <w:b/>
      <w:sz w:val="28"/>
      <w:szCs w:val="28"/>
      <w:lang w:eastAsia="en-GB"/>
    </w:rPr>
  </w:style>
  <w:style w:type="paragraph" w:customStyle="1" w:styleId="TableText">
    <w:name w:val="Table Text"/>
    <w:basedOn w:val="Normal"/>
    <w:uiPriority w:val="5"/>
    <w:qFormat/>
    <w:rsid w:val="00AB450C"/>
    <w:pPr>
      <w:spacing w:after="0" w:line="240" w:lineRule="auto"/>
      <w:jc w:val="left"/>
    </w:pPr>
    <w:rPr>
      <w:bCs/>
      <w:lang w:eastAsia="en-US"/>
    </w:rPr>
  </w:style>
  <w:style w:type="paragraph" w:customStyle="1" w:styleId="TableHeaderText">
    <w:name w:val="Table Header Text"/>
    <w:basedOn w:val="Normal"/>
    <w:uiPriority w:val="5"/>
    <w:qFormat/>
    <w:rsid w:val="001A7B60"/>
    <w:pPr>
      <w:spacing w:line="240" w:lineRule="auto"/>
    </w:pPr>
    <w:rPr>
      <w:b/>
      <w:bCs/>
      <w:lang w:eastAsia="en-US"/>
    </w:rPr>
  </w:style>
  <w:style w:type="paragraph" w:customStyle="1" w:styleId="Default">
    <w:name w:val="Default"/>
    <w:uiPriority w:val="9"/>
    <w:semiHidden/>
    <w:rsid w:val="00855499"/>
    <w:pPr>
      <w:autoSpaceDE w:val="0"/>
      <w:autoSpaceDN w:val="0"/>
      <w:adjustRightInd w:val="0"/>
      <w:spacing w:after="0" w:line="240" w:lineRule="auto"/>
    </w:pPr>
    <w:rPr>
      <w:rFonts w:ascii="Arial" w:hAnsi="Arial" w:cs="Arial"/>
      <w:bCs w:val="0"/>
      <w:color w:val="000000"/>
      <w:sz w:val="24"/>
      <w:szCs w:val="24"/>
    </w:rPr>
  </w:style>
  <w:style w:type="character" w:customStyle="1" w:styleId="Heading3Char">
    <w:name w:val="Heading 3 Char"/>
    <w:basedOn w:val="DefaultParagraphFont"/>
    <w:link w:val="Heading3"/>
    <w:uiPriority w:val="9"/>
    <w:semiHidden/>
    <w:rsid w:val="00866194"/>
    <w:rPr>
      <w:rFonts w:ascii="Arial" w:eastAsiaTheme="majorEastAsia" w:hAnsi="Arial" w:cstheme="majorBidi"/>
      <w:b/>
      <w:color w:val="0054A4"/>
      <w:sz w:val="24"/>
    </w:rPr>
  </w:style>
  <w:style w:type="paragraph" w:styleId="TOC1">
    <w:name w:val="toc 1"/>
    <w:aliases w:val="Table of Contents"/>
    <w:basedOn w:val="Normal"/>
    <w:next w:val="Normal"/>
    <w:autoRedefine/>
    <w:uiPriority w:val="9"/>
    <w:rsid w:val="001A7B60"/>
    <w:pPr>
      <w:spacing w:after="100"/>
    </w:pPr>
  </w:style>
  <w:style w:type="paragraph" w:styleId="TOC2">
    <w:name w:val="toc 2"/>
    <w:basedOn w:val="Normal"/>
    <w:next w:val="Normal"/>
    <w:autoRedefine/>
    <w:uiPriority w:val="39"/>
    <w:semiHidden/>
    <w:unhideWhenUsed/>
    <w:qFormat/>
    <w:rsid w:val="001A7B60"/>
    <w:pPr>
      <w:spacing w:after="100"/>
      <w:ind w:left="240"/>
    </w:pPr>
  </w:style>
  <w:style w:type="paragraph" w:styleId="TOC3">
    <w:name w:val="toc 3"/>
    <w:basedOn w:val="Normal"/>
    <w:next w:val="Normal"/>
    <w:autoRedefine/>
    <w:uiPriority w:val="39"/>
    <w:semiHidden/>
    <w:unhideWhenUsed/>
    <w:qFormat/>
    <w:rsid w:val="001A7B60"/>
    <w:pPr>
      <w:spacing w:after="100"/>
      <w:ind w:left="440"/>
    </w:pPr>
    <w:rPr>
      <w:rFonts w:eastAsiaTheme="minorEastAsia"/>
      <w:sz w:val="22"/>
      <w:szCs w:val="22"/>
      <w:lang w:val="en-US" w:eastAsia="ja-JP"/>
    </w:rPr>
  </w:style>
  <w:style w:type="paragraph" w:styleId="FootnoteText">
    <w:name w:val="footnote text"/>
    <w:basedOn w:val="Normal"/>
    <w:link w:val="FootnoteTextChar"/>
    <w:uiPriority w:val="99"/>
    <w:semiHidden/>
    <w:unhideWhenUsed/>
    <w:rsid w:val="001A7B60"/>
    <w:rPr>
      <w:sz w:val="20"/>
      <w:szCs w:val="20"/>
    </w:rPr>
  </w:style>
  <w:style w:type="character" w:customStyle="1" w:styleId="FootnoteTextChar">
    <w:name w:val="Footnote Text Char"/>
    <w:basedOn w:val="DefaultParagraphFont"/>
    <w:link w:val="FootnoteText"/>
    <w:uiPriority w:val="99"/>
    <w:semiHidden/>
    <w:rsid w:val="001A7B60"/>
    <w:rPr>
      <w:rFonts w:ascii="Arial" w:hAnsi="Arial"/>
      <w:bCs w:val="0"/>
      <w:sz w:val="20"/>
      <w:szCs w:val="20"/>
      <w:lang w:eastAsia="en-GB"/>
    </w:rPr>
  </w:style>
  <w:style w:type="paragraph" w:styleId="CommentText">
    <w:name w:val="annotation text"/>
    <w:basedOn w:val="Normal"/>
    <w:link w:val="CommentTextChar"/>
    <w:uiPriority w:val="99"/>
    <w:unhideWhenUsed/>
    <w:rsid w:val="001A7B60"/>
    <w:rPr>
      <w:sz w:val="20"/>
      <w:szCs w:val="20"/>
    </w:rPr>
  </w:style>
  <w:style w:type="character" w:customStyle="1" w:styleId="CommentTextChar">
    <w:name w:val="Comment Text Char"/>
    <w:basedOn w:val="DefaultParagraphFont"/>
    <w:link w:val="CommentText"/>
    <w:uiPriority w:val="99"/>
    <w:rsid w:val="001A7B60"/>
    <w:rPr>
      <w:rFonts w:ascii="Arial" w:hAnsi="Arial"/>
      <w:bCs w:val="0"/>
      <w:sz w:val="20"/>
      <w:szCs w:val="20"/>
      <w:lang w:eastAsia="en-GB"/>
    </w:rPr>
  </w:style>
  <w:style w:type="paragraph" w:styleId="Header">
    <w:name w:val="header"/>
    <w:basedOn w:val="Normal"/>
    <w:link w:val="HeaderChar"/>
    <w:uiPriority w:val="99"/>
    <w:unhideWhenUsed/>
    <w:rsid w:val="001A7B60"/>
    <w:pPr>
      <w:tabs>
        <w:tab w:val="center" w:pos="4513"/>
        <w:tab w:val="right" w:pos="9026"/>
      </w:tabs>
    </w:pPr>
  </w:style>
  <w:style w:type="character" w:customStyle="1" w:styleId="HeaderChar">
    <w:name w:val="Header Char"/>
    <w:basedOn w:val="DefaultParagraphFont"/>
    <w:link w:val="Header"/>
    <w:uiPriority w:val="99"/>
    <w:rsid w:val="001A7B60"/>
    <w:rPr>
      <w:rFonts w:ascii="Arial" w:hAnsi="Arial"/>
      <w:bCs w:val="0"/>
      <w:sz w:val="24"/>
      <w:szCs w:val="24"/>
      <w:lang w:eastAsia="en-GB"/>
    </w:rPr>
  </w:style>
  <w:style w:type="paragraph" w:styleId="Footer">
    <w:name w:val="footer"/>
    <w:basedOn w:val="Normal"/>
    <w:link w:val="FooterChar"/>
    <w:uiPriority w:val="99"/>
    <w:unhideWhenUsed/>
    <w:rsid w:val="001A7B60"/>
    <w:pPr>
      <w:tabs>
        <w:tab w:val="center" w:pos="4513"/>
        <w:tab w:val="right" w:pos="9026"/>
      </w:tabs>
    </w:pPr>
  </w:style>
  <w:style w:type="character" w:customStyle="1" w:styleId="FooterChar">
    <w:name w:val="Footer Char"/>
    <w:basedOn w:val="DefaultParagraphFont"/>
    <w:link w:val="Footer"/>
    <w:uiPriority w:val="99"/>
    <w:rsid w:val="001A7B60"/>
    <w:rPr>
      <w:rFonts w:ascii="Arial" w:hAnsi="Arial"/>
      <w:bCs w:val="0"/>
      <w:sz w:val="24"/>
      <w:szCs w:val="24"/>
      <w:lang w:eastAsia="en-GB"/>
    </w:rPr>
  </w:style>
  <w:style w:type="character" w:styleId="FootnoteReference">
    <w:name w:val="footnote reference"/>
    <w:basedOn w:val="DefaultParagraphFont"/>
    <w:uiPriority w:val="99"/>
    <w:semiHidden/>
    <w:unhideWhenUsed/>
    <w:rsid w:val="001A7B60"/>
    <w:rPr>
      <w:vertAlign w:val="superscript"/>
    </w:rPr>
  </w:style>
  <w:style w:type="character" w:styleId="CommentReference">
    <w:name w:val="annotation reference"/>
    <w:basedOn w:val="DefaultParagraphFont"/>
    <w:uiPriority w:val="99"/>
    <w:semiHidden/>
    <w:unhideWhenUsed/>
    <w:rsid w:val="001A7B60"/>
    <w:rPr>
      <w:sz w:val="16"/>
      <w:szCs w:val="16"/>
    </w:rPr>
  </w:style>
  <w:style w:type="paragraph" w:styleId="Title">
    <w:name w:val="Title"/>
    <w:basedOn w:val="Normal"/>
    <w:next w:val="Normal"/>
    <w:link w:val="TitleChar"/>
    <w:uiPriority w:val="7"/>
    <w:qFormat/>
    <w:rsid w:val="00542CF3"/>
    <w:pPr>
      <w:spacing w:line="240" w:lineRule="auto"/>
      <w:contextualSpacing/>
      <w:jc w:val="right"/>
    </w:pPr>
    <w:rPr>
      <w:b/>
      <w:bCs/>
      <w:sz w:val="32"/>
      <w:szCs w:val="32"/>
    </w:rPr>
  </w:style>
  <w:style w:type="character" w:customStyle="1" w:styleId="TitleChar">
    <w:name w:val="Title Char"/>
    <w:basedOn w:val="DefaultParagraphFont"/>
    <w:link w:val="Title"/>
    <w:uiPriority w:val="7"/>
    <w:rsid w:val="00542CF3"/>
    <w:rPr>
      <w:rFonts w:ascii="Arial" w:hAnsi="Arial"/>
      <w:b/>
      <w:sz w:val="32"/>
      <w:szCs w:val="32"/>
      <w:lang w:eastAsia="en-GB"/>
    </w:rPr>
  </w:style>
  <w:style w:type="paragraph" w:styleId="BodyText">
    <w:name w:val="Body Text"/>
    <w:basedOn w:val="Normal"/>
    <w:link w:val="BodyTextChar"/>
    <w:uiPriority w:val="9"/>
    <w:semiHidden/>
    <w:rsid w:val="001A7B60"/>
    <w:pPr>
      <w:suppressAutoHyphens/>
    </w:pPr>
    <w:rPr>
      <w:rFonts w:eastAsia="Times New Roman" w:cs="Times New Roman"/>
      <w:szCs w:val="20"/>
      <w:lang w:eastAsia="ar-SA"/>
    </w:rPr>
  </w:style>
  <w:style w:type="character" w:customStyle="1" w:styleId="BodyTextChar">
    <w:name w:val="Body Text Char"/>
    <w:basedOn w:val="DefaultParagraphFont"/>
    <w:link w:val="BodyText"/>
    <w:uiPriority w:val="9"/>
    <w:semiHidden/>
    <w:rsid w:val="00866194"/>
    <w:rPr>
      <w:rFonts w:ascii="Arial" w:eastAsia="Times New Roman" w:hAnsi="Arial" w:cs="Times New Roman"/>
      <w:bCs w:val="0"/>
      <w:sz w:val="24"/>
      <w:szCs w:val="20"/>
      <w:lang w:eastAsia="ar-SA"/>
    </w:rPr>
  </w:style>
  <w:style w:type="character" w:styleId="Hyperlink">
    <w:name w:val="Hyperlink"/>
    <w:basedOn w:val="DefaultParagraphFont"/>
    <w:uiPriority w:val="6"/>
    <w:qFormat/>
    <w:rsid w:val="001A7B60"/>
    <w:rPr>
      <w:color w:val="0054A4"/>
      <w:u w:val="single"/>
    </w:rPr>
  </w:style>
  <w:style w:type="character" w:styleId="FollowedHyperlink">
    <w:name w:val="FollowedHyperlink"/>
    <w:basedOn w:val="DefaultParagraphFont"/>
    <w:uiPriority w:val="99"/>
    <w:semiHidden/>
    <w:unhideWhenUsed/>
    <w:rsid w:val="001A7B60"/>
    <w:rPr>
      <w:color w:val="954F72" w:themeColor="followedHyperlink"/>
      <w:u w:val="single"/>
    </w:rPr>
  </w:style>
  <w:style w:type="character" w:styleId="Strong">
    <w:name w:val="Strong"/>
    <w:basedOn w:val="DefaultParagraphFont"/>
    <w:uiPriority w:val="22"/>
    <w:rsid w:val="001A7B60"/>
    <w:rPr>
      <w:b/>
      <w:bCs w:val="0"/>
    </w:rPr>
  </w:style>
  <w:style w:type="paragraph" w:styleId="NormalWeb">
    <w:name w:val="Normal (Web)"/>
    <w:basedOn w:val="Normal"/>
    <w:uiPriority w:val="99"/>
    <w:semiHidden/>
    <w:unhideWhenUsed/>
    <w:rsid w:val="001A7B60"/>
    <w:pPr>
      <w:spacing w:after="240"/>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A7B60"/>
    <w:rPr>
      <w:b/>
      <w:bCs/>
    </w:rPr>
  </w:style>
  <w:style w:type="character" w:customStyle="1" w:styleId="CommentSubjectChar">
    <w:name w:val="Comment Subject Char"/>
    <w:basedOn w:val="CommentTextChar"/>
    <w:link w:val="CommentSubject"/>
    <w:uiPriority w:val="99"/>
    <w:semiHidden/>
    <w:rsid w:val="001A7B60"/>
    <w:rPr>
      <w:rFonts w:ascii="Arial" w:hAnsi="Arial"/>
      <w:b/>
      <w:bCs/>
      <w:sz w:val="20"/>
      <w:szCs w:val="20"/>
      <w:lang w:eastAsia="en-GB"/>
    </w:rPr>
  </w:style>
  <w:style w:type="paragraph" w:styleId="BalloonText">
    <w:name w:val="Balloon Text"/>
    <w:basedOn w:val="Normal"/>
    <w:link w:val="BalloonTextChar"/>
    <w:uiPriority w:val="99"/>
    <w:semiHidden/>
    <w:unhideWhenUsed/>
    <w:rsid w:val="001A7B60"/>
    <w:rPr>
      <w:rFonts w:ascii="Tahoma" w:hAnsi="Tahoma" w:cs="Tahoma"/>
      <w:sz w:val="16"/>
      <w:szCs w:val="16"/>
    </w:rPr>
  </w:style>
  <w:style w:type="character" w:customStyle="1" w:styleId="BalloonTextChar">
    <w:name w:val="Balloon Text Char"/>
    <w:basedOn w:val="DefaultParagraphFont"/>
    <w:link w:val="BalloonText"/>
    <w:uiPriority w:val="99"/>
    <w:semiHidden/>
    <w:rsid w:val="001A7B60"/>
    <w:rPr>
      <w:rFonts w:ascii="Tahoma" w:hAnsi="Tahoma" w:cs="Tahoma"/>
      <w:bCs w:val="0"/>
      <w:sz w:val="16"/>
      <w:szCs w:val="16"/>
      <w:lang w:eastAsia="en-GB"/>
    </w:rPr>
  </w:style>
  <w:style w:type="table" w:styleId="TableGrid">
    <w:name w:val="Table Grid"/>
    <w:basedOn w:val="TableNormal"/>
    <w:rsid w:val="001A7B60"/>
    <w:pPr>
      <w:spacing w:after="0" w:line="240" w:lineRule="auto"/>
    </w:pPr>
    <w:rPr>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style>
  <w:style w:type="character" w:styleId="PlaceholderText">
    <w:name w:val="Placeholder Text"/>
    <w:basedOn w:val="DefaultParagraphFont"/>
    <w:uiPriority w:val="99"/>
    <w:semiHidden/>
    <w:rsid w:val="001A7B60"/>
    <w:rPr>
      <w:color w:val="808080"/>
    </w:rPr>
  </w:style>
  <w:style w:type="paragraph" w:styleId="ListParagraph">
    <w:name w:val="List Paragraph"/>
    <w:basedOn w:val="Normal"/>
    <w:link w:val="ListParagraphChar"/>
    <w:uiPriority w:val="34"/>
    <w:rsid w:val="001A7B60"/>
    <w:pPr>
      <w:ind w:left="720"/>
      <w:contextualSpacing/>
    </w:pPr>
  </w:style>
  <w:style w:type="paragraph" w:styleId="TOCHeading">
    <w:name w:val="TOC Heading"/>
    <w:basedOn w:val="Heading1"/>
    <w:next w:val="Normal"/>
    <w:uiPriority w:val="39"/>
    <w:semiHidden/>
    <w:unhideWhenUsed/>
    <w:qFormat/>
    <w:rsid w:val="001A7B60"/>
    <w:pPr>
      <w:outlineLvl w:val="9"/>
    </w:pPr>
    <w:rPr>
      <w:lang w:val="en-US" w:eastAsia="ja-JP"/>
    </w:rPr>
  </w:style>
  <w:style w:type="table" w:styleId="PlainTable2">
    <w:name w:val="Plain Table 2"/>
    <w:basedOn w:val="TableNormal"/>
    <w:uiPriority w:val="42"/>
    <w:rsid w:val="001A7B60"/>
    <w:pPr>
      <w:spacing w:after="0" w:line="240" w:lineRule="auto"/>
    </w:pPr>
    <w:rPr>
      <w:bCs w:val="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A7B60"/>
    <w:pPr>
      <w:spacing w:after="0" w:line="240" w:lineRule="auto"/>
    </w:pPr>
    <w:rPr>
      <w:bCs w:val="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1A7B60"/>
    <w:pPr>
      <w:spacing w:after="0" w:line="240" w:lineRule="auto"/>
    </w:pPr>
    <w:rPr>
      <w:bCs w:val="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ullets">
    <w:name w:val="Bullets"/>
    <w:basedOn w:val="Normal"/>
    <w:link w:val="BulletsChar"/>
    <w:uiPriority w:val="4"/>
    <w:qFormat/>
    <w:rsid w:val="00866194"/>
    <w:pPr>
      <w:numPr>
        <w:ilvl w:val="4"/>
        <w:numId w:val="17"/>
      </w:numPr>
    </w:pPr>
    <w:rPr>
      <w:lang w:eastAsia="en-US"/>
    </w:rPr>
  </w:style>
  <w:style w:type="character" w:customStyle="1" w:styleId="Heading4Char">
    <w:name w:val="Heading 4 Char"/>
    <w:basedOn w:val="DefaultParagraphFont"/>
    <w:link w:val="Heading4"/>
    <w:uiPriority w:val="9"/>
    <w:semiHidden/>
    <w:rsid w:val="001A7B60"/>
    <w:rPr>
      <w:rFonts w:asciiTheme="majorHAnsi" w:eastAsiaTheme="majorEastAsia" w:hAnsiTheme="majorHAnsi" w:cstheme="majorBidi"/>
      <w:bCs w:val="0"/>
      <w:i/>
      <w:iCs/>
      <w:color w:val="2F5496" w:themeColor="accent1" w:themeShade="BF"/>
      <w:sz w:val="24"/>
      <w:szCs w:val="24"/>
      <w:lang w:eastAsia="en-GB"/>
    </w:rPr>
  </w:style>
  <w:style w:type="paragraph" w:styleId="Quote">
    <w:name w:val="Quote"/>
    <w:basedOn w:val="Normal"/>
    <w:next w:val="Normal"/>
    <w:link w:val="QuoteChar"/>
    <w:uiPriority w:val="9"/>
    <w:rsid w:val="001A7B60"/>
    <w:pPr>
      <w:ind w:left="454"/>
    </w:pPr>
    <w:rPr>
      <w:i/>
      <w:iCs/>
      <w:lang w:eastAsia="en-US"/>
    </w:rPr>
  </w:style>
  <w:style w:type="character" w:customStyle="1" w:styleId="QuoteChar">
    <w:name w:val="Quote Char"/>
    <w:basedOn w:val="DefaultParagraphFont"/>
    <w:link w:val="Quote"/>
    <w:uiPriority w:val="9"/>
    <w:rsid w:val="00866194"/>
    <w:rPr>
      <w:rFonts w:ascii="Arial" w:hAnsi="Arial"/>
      <w:bCs w:val="0"/>
      <w:i/>
      <w:iCs/>
      <w:sz w:val="24"/>
      <w:szCs w:val="24"/>
    </w:rPr>
  </w:style>
  <w:style w:type="paragraph" w:customStyle="1" w:styleId="AppendicesHeading1">
    <w:name w:val="Appendices Heading 1"/>
    <w:next w:val="Normal"/>
    <w:link w:val="AppendicesHeading1Char"/>
    <w:uiPriority w:val="9"/>
    <w:rsid w:val="001A7B60"/>
    <w:pPr>
      <w:numPr>
        <w:ilvl w:val="1"/>
        <w:numId w:val="15"/>
      </w:numPr>
      <w:ind w:left="454" w:hanging="454"/>
    </w:pPr>
    <w:rPr>
      <w:rFonts w:ascii="Arial" w:eastAsiaTheme="majorEastAsia" w:hAnsi="Arial" w:cstheme="majorBidi"/>
      <w:b/>
      <w:bCs w:val="0"/>
      <w:iCs/>
      <w:color w:val="0054A4"/>
      <w:sz w:val="24"/>
      <w:szCs w:val="28"/>
    </w:rPr>
  </w:style>
  <w:style w:type="character" w:customStyle="1" w:styleId="AppendicesHeading1Char">
    <w:name w:val="Appendices Heading 1 Char"/>
    <w:basedOn w:val="Heading2Char"/>
    <w:link w:val="AppendicesHeading1"/>
    <w:uiPriority w:val="9"/>
    <w:rsid w:val="00866194"/>
    <w:rPr>
      <w:rFonts w:ascii="Arial" w:eastAsiaTheme="majorEastAsia" w:hAnsi="Arial" w:cstheme="majorBidi"/>
      <w:b/>
      <w:bCs w:val="0"/>
      <w:iCs/>
      <w:color w:val="0054A4"/>
      <w:sz w:val="24"/>
      <w:szCs w:val="28"/>
      <w:lang w:eastAsia="en-GB"/>
    </w:rPr>
  </w:style>
  <w:style w:type="paragraph" w:customStyle="1" w:styleId="Appendix">
    <w:name w:val="Appendix"/>
    <w:basedOn w:val="Normal"/>
    <w:link w:val="AppendixChar"/>
    <w:uiPriority w:val="9"/>
    <w:rsid w:val="001A7B60"/>
    <w:rPr>
      <w:color w:val="0054A4"/>
      <w:sz w:val="32"/>
      <w:szCs w:val="32"/>
    </w:rPr>
  </w:style>
  <w:style w:type="character" w:customStyle="1" w:styleId="AppendixChar">
    <w:name w:val="Appendix Char"/>
    <w:basedOn w:val="DefaultParagraphFont"/>
    <w:link w:val="Appendix"/>
    <w:uiPriority w:val="9"/>
    <w:rsid w:val="00866194"/>
    <w:rPr>
      <w:rFonts w:ascii="Arial" w:hAnsi="Arial"/>
      <w:bCs w:val="0"/>
      <w:color w:val="0054A4"/>
      <w:sz w:val="32"/>
      <w:szCs w:val="32"/>
      <w:lang w:eastAsia="en-GB"/>
    </w:rPr>
  </w:style>
  <w:style w:type="character" w:styleId="UnresolvedMention">
    <w:name w:val="Unresolved Mention"/>
    <w:basedOn w:val="DefaultParagraphFont"/>
    <w:uiPriority w:val="99"/>
    <w:semiHidden/>
    <w:unhideWhenUsed/>
    <w:rsid w:val="001A7B60"/>
    <w:rPr>
      <w:color w:val="605E5C"/>
      <w:shd w:val="clear" w:color="auto" w:fill="E1DFDD"/>
    </w:rPr>
  </w:style>
  <w:style w:type="paragraph" w:customStyle="1" w:styleId="Clause">
    <w:name w:val="Clause"/>
    <w:basedOn w:val="ListParagraph"/>
    <w:link w:val="ClauseChar"/>
    <w:uiPriority w:val="3"/>
    <w:qFormat/>
    <w:rsid w:val="00FF44A8"/>
    <w:pPr>
      <w:numPr>
        <w:ilvl w:val="2"/>
        <w:numId w:val="17"/>
      </w:numPr>
      <w:contextualSpacing w:val="0"/>
    </w:pPr>
  </w:style>
  <w:style w:type="paragraph" w:customStyle="1" w:styleId="Sub-clause">
    <w:name w:val="Sub-clause"/>
    <w:basedOn w:val="Clause"/>
    <w:link w:val="Sub-clauseChar"/>
    <w:uiPriority w:val="3"/>
    <w:qFormat/>
    <w:rsid w:val="00866194"/>
    <w:pPr>
      <w:numPr>
        <w:ilvl w:val="3"/>
      </w:numPr>
    </w:pPr>
  </w:style>
  <w:style w:type="character" w:customStyle="1" w:styleId="ListParagraphChar">
    <w:name w:val="List Paragraph Char"/>
    <w:basedOn w:val="DefaultParagraphFont"/>
    <w:link w:val="ListParagraph"/>
    <w:uiPriority w:val="34"/>
    <w:rsid w:val="00F2266C"/>
    <w:rPr>
      <w:rFonts w:ascii="Arial" w:hAnsi="Arial"/>
      <w:bCs w:val="0"/>
      <w:sz w:val="24"/>
      <w:szCs w:val="24"/>
      <w:lang w:eastAsia="en-GB"/>
    </w:rPr>
  </w:style>
  <w:style w:type="character" w:customStyle="1" w:styleId="ClauseChar">
    <w:name w:val="Clause Char"/>
    <w:basedOn w:val="ListParagraphChar"/>
    <w:link w:val="Clause"/>
    <w:uiPriority w:val="3"/>
    <w:rsid w:val="00FF44A8"/>
    <w:rPr>
      <w:rFonts w:ascii="Arial" w:hAnsi="Arial"/>
      <w:bCs w:val="0"/>
      <w:sz w:val="24"/>
      <w:szCs w:val="24"/>
      <w:lang w:eastAsia="en-GB"/>
    </w:rPr>
  </w:style>
  <w:style w:type="character" w:customStyle="1" w:styleId="Sub-clauseChar">
    <w:name w:val="Sub-clause Char"/>
    <w:basedOn w:val="ClauseChar"/>
    <w:link w:val="Sub-clause"/>
    <w:uiPriority w:val="3"/>
    <w:rsid w:val="00866194"/>
    <w:rPr>
      <w:rFonts w:ascii="Arial" w:hAnsi="Arial"/>
      <w:bCs w:val="0"/>
      <w:sz w:val="24"/>
      <w:szCs w:val="24"/>
      <w:lang w:eastAsia="en-GB"/>
    </w:rPr>
  </w:style>
  <w:style w:type="paragraph" w:customStyle="1" w:styleId="Sub-bullet">
    <w:name w:val="Sub-bullet"/>
    <w:basedOn w:val="Bullets"/>
    <w:link w:val="Sub-bulletChar"/>
    <w:uiPriority w:val="4"/>
    <w:qFormat/>
    <w:rsid w:val="00051ADA"/>
    <w:pPr>
      <w:numPr>
        <w:ilvl w:val="5"/>
      </w:numPr>
    </w:pPr>
  </w:style>
  <w:style w:type="character" w:customStyle="1" w:styleId="BulletsChar">
    <w:name w:val="Bullets Char"/>
    <w:basedOn w:val="DefaultParagraphFont"/>
    <w:link w:val="Bullets"/>
    <w:uiPriority w:val="4"/>
    <w:rsid w:val="00051ADA"/>
    <w:rPr>
      <w:rFonts w:ascii="Arial" w:hAnsi="Arial"/>
      <w:bCs w:val="0"/>
      <w:sz w:val="24"/>
      <w:szCs w:val="24"/>
    </w:rPr>
  </w:style>
  <w:style w:type="character" w:customStyle="1" w:styleId="Sub-bulletChar">
    <w:name w:val="Sub-bullet Char"/>
    <w:basedOn w:val="BulletsChar"/>
    <w:link w:val="Sub-bullet"/>
    <w:uiPriority w:val="4"/>
    <w:rsid w:val="00051ADA"/>
    <w:rPr>
      <w:rFonts w:ascii="Arial" w:hAnsi="Arial"/>
      <w:bCs w:val="0"/>
      <w:sz w:val="24"/>
      <w:szCs w:val="24"/>
    </w:rPr>
  </w:style>
  <w:style w:type="paragraph" w:styleId="Revision">
    <w:name w:val="Revision"/>
    <w:hidden/>
    <w:uiPriority w:val="99"/>
    <w:semiHidden/>
    <w:rsid w:val="008F510D"/>
    <w:pPr>
      <w:spacing w:after="0" w:line="240" w:lineRule="auto"/>
    </w:pPr>
    <w:rPr>
      <w:rFonts w:ascii="Arial" w:hAnsi="Arial"/>
      <w:bCs w:val="0"/>
      <w:sz w:val="24"/>
      <w:szCs w:val="24"/>
      <w:lang w:eastAsia="en-GB"/>
    </w:rPr>
  </w:style>
  <w:style w:type="table" w:styleId="PlainTable1">
    <w:name w:val="Plain Table 1"/>
    <w:basedOn w:val="TableNormal"/>
    <w:uiPriority w:val="41"/>
    <w:rsid w:val="007300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dpr-info.eu/art-89-gdp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ISPA Correspondence" ma:contentTypeID="0x0101004DC5445DEEA385468729144891FC9E030059ED3D347547FD419439078A7FE2FAE8" ma:contentTypeVersion="5" ma:contentTypeDescription="" ma:contentTypeScope="" ma:versionID="e10f496ef72d321fd963f469d3b1a796">
  <xsd:schema xmlns:xsd="http://www.w3.org/2001/XMLSchema" xmlns:xs="http://www.w3.org/2001/XMLSchema" xmlns:p="http://schemas.microsoft.com/office/2006/metadata/properties" xmlns:ns2="07cb0ae7-4148-4484-a5b9-1e8e812e7102" targetNamespace="http://schemas.microsoft.com/office/2006/metadata/properties" ma:root="true" ma:fieldsID="346fd3381a7f5df290194ec43b83ee48" ns2:_="">
    <xsd:import namespace="07cb0ae7-4148-4484-a5b9-1e8e812e7102"/>
    <xsd:element name="properties">
      <xsd:complexType>
        <xsd:sequence>
          <xsd:element name="documentManagement">
            <xsd:complexType>
              <xsd:all>
                <xsd:element ref="ns2:Version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Version_x0020_Number" ma:index="8" nillable="true" ma:displayName="Version Number" ma:default="" ma:internalName="Version_x0020_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_x0020_Number xmlns="07cb0ae7-4148-4484-a5b9-1e8e812e71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dc966fa-4138-4b9c-b0e4-0cfe5a192035" ContentTypeId="0x0101004DC5445DEEA385468729144891FC9E03" PreviousValue="false"/>
</file>

<file path=customXml/itemProps1.xml><?xml version="1.0" encoding="utf-8"?>
<ds:datastoreItem xmlns:ds="http://schemas.openxmlformats.org/officeDocument/2006/customXml" ds:itemID="{3783BE48-B0E2-446D-8CD1-A96E9B670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b0ae7-4148-4484-a5b9-1e8e812e7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38DBE-9246-4524-AAA3-E32B2D6C198F}">
  <ds:schemaRefs>
    <ds:schemaRef ds:uri="http://schemas.microsoft.com/sharepoint/v3/contenttype/forms"/>
  </ds:schemaRefs>
</ds:datastoreItem>
</file>

<file path=customXml/itemProps3.xml><?xml version="1.0" encoding="utf-8"?>
<ds:datastoreItem xmlns:ds="http://schemas.openxmlformats.org/officeDocument/2006/customXml" ds:itemID="{F6799B35-D24F-4823-B7AB-9D4AC654FF9A}">
  <ds:schemaRef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fedb8948-1cbb-4661-b0f6-8221dbdc1784"/>
    <ds:schemaRef ds:uri="http://www.w3.org/XML/1998/namespace"/>
    <ds:schemaRef ds:uri="07cb0ae7-4148-4484-a5b9-1e8e812e7102"/>
  </ds:schemaRefs>
</ds:datastoreItem>
</file>

<file path=customXml/itemProps4.xml><?xml version="1.0" encoding="utf-8"?>
<ds:datastoreItem xmlns:ds="http://schemas.openxmlformats.org/officeDocument/2006/customXml" ds:itemID="{2208D163-C30B-45B7-A961-8E973C031EB6}">
  <ds:schemaRefs>
    <ds:schemaRef ds:uri="http://schemas.openxmlformats.org/officeDocument/2006/bibliography"/>
  </ds:schemaRefs>
</ds:datastoreItem>
</file>

<file path=customXml/itemProps5.xml><?xml version="1.0" encoding="utf-8"?>
<ds:datastoreItem xmlns:ds="http://schemas.openxmlformats.org/officeDocument/2006/customXml" ds:itemID="{264CAD09-269C-4C06-93E3-305270CA7C4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2207</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 Zoe</dc:creator>
  <cp:keywords/>
  <dc:description/>
  <cp:lastModifiedBy>VERNON, Zoe</cp:lastModifiedBy>
  <cp:revision>6</cp:revision>
  <dcterms:created xsi:type="dcterms:W3CDTF">2024-08-12T13:15:00Z</dcterms:created>
  <dcterms:modified xsi:type="dcterms:W3CDTF">2025-04-02T11:50:00Z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0x0101004DC5445DEEA385468729144891FC9E030059ED3D347547FD419439078A7FE2FAE8</vt:lpwstr>
  </property>
  <property fmtid="{D5CDD505-2E9C-101B-9397-08002B2CF9AE}" pid="3" name="Order">
    <vt:r8>157200</vt:r8>
  </property>
  <property fmtid="{D5CDD505-2E9C-101B-9397-08002B2CF9AE}" pid="4" name="ClassificationContentMarkingHeaderShapeIds">
    <vt:lpwstr>1e7e739b,3122cbe0,5483e41f</vt:lpwstr>
  </property>
  <property fmtid="{D5CDD505-2E9C-101B-9397-08002B2CF9AE}" pid="5" name="ClassificationContentMarkingHeaderFontProps">
    <vt:lpwstr>#000000,10,Calibri</vt:lpwstr>
  </property>
  <property fmtid="{D5CDD505-2E9C-101B-9397-08002B2CF9AE}" pid="6" name="ClassificationContentMarkingHeaderText">
    <vt:lpwstr>Official - Commercial</vt:lpwstr>
  </property>
  <property fmtid="{D5CDD505-2E9C-101B-9397-08002B2CF9AE}" pid="7" name="MSIP_Label_0ba8ec20-389e-43ec-b874-6d4fe5ed6328_Enabled">
    <vt:lpwstr>true</vt:lpwstr>
  </property>
  <property fmtid="{D5CDD505-2E9C-101B-9397-08002B2CF9AE}" pid="8" name="MSIP_Label_0ba8ec20-389e-43ec-b874-6d4fe5ed6328_SetDate">
    <vt:lpwstr>2023-09-21T09:13:03Z</vt:lpwstr>
  </property>
  <property fmtid="{D5CDD505-2E9C-101B-9397-08002B2CF9AE}" pid="9" name="MSIP_Label_0ba8ec20-389e-43ec-b874-6d4fe5ed6328_Method">
    <vt:lpwstr>Standard</vt:lpwstr>
  </property>
  <property fmtid="{D5CDD505-2E9C-101B-9397-08002B2CF9AE}" pid="10" name="MSIP_Label_0ba8ec20-389e-43ec-b874-6d4fe5ed6328_Name">
    <vt:lpwstr>Official - Official Commercial</vt:lpwstr>
  </property>
  <property fmtid="{D5CDD505-2E9C-101B-9397-08002B2CF9AE}" pid="11" name="MSIP_Label_0ba8ec20-389e-43ec-b874-6d4fe5ed6328_SiteId">
    <vt:lpwstr>5faec754-64e3-4014-9bcc-e72fc73ba312</vt:lpwstr>
  </property>
  <property fmtid="{D5CDD505-2E9C-101B-9397-08002B2CF9AE}" pid="12" name="MSIP_Label_0ba8ec20-389e-43ec-b874-6d4fe5ed6328_ActionId">
    <vt:lpwstr>c45b7ad9-6ddc-4f30-8bcd-cc91acfa63ab</vt:lpwstr>
  </property>
  <property fmtid="{D5CDD505-2E9C-101B-9397-08002B2CF9AE}" pid="13" name="MSIP_Label_0ba8ec20-389e-43ec-b874-6d4fe5ed6328_ContentBits">
    <vt:lpwstr>1</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