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7EFB4EBE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5B0C18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5B0C18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The Physical Environment</w:t>
      </w:r>
    </w:p>
    <w:p w14:paraId="5C1E1531" w14:textId="20D221BE" w:rsidR="00E155B3" w:rsidRDefault="00016BAA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Continuous Provision</w:t>
      </w:r>
      <w:r w:rsidR="00661D00">
        <w:rPr>
          <w:rFonts w:ascii="Mangal Pro" w:eastAsia="Mangal Pro" w:hAnsi="Mangal Pro" w:cs="Mangal Pro"/>
          <w:b/>
          <w:bCs/>
          <w:sz w:val="32"/>
          <w:szCs w:val="32"/>
        </w:rPr>
        <w:t xml:space="preserve"> </w:t>
      </w:r>
    </w:p>
    <w:p w14:paraId="0607856C" w14:textId="77777777" w:rsidR="008E6137" w:rsidRPr="008E6137" w:rsidRDefault="008E6137" w:rsidP="005B6FF3">
      <w:pPr>
        <w:spacing w:line="240" w:lineRule="auto"/>
        <w:jc w:val="both"/>
        <w:rPr>
          <w:rFonts w:ascii="Mangal Pro" w:eastAsia="Mangal Pro" w:hAnsi="Mangal Pro" w:cs="Mangal Pro"/>
          <w:b/>
          <w:bCs/>
          <w:sz w:val="8"/>
          <w:szCs w:val="8"/>
        </w:rPr>
      </w:pPr>
    </w:p>
    <w:p w14:paraId="4876CFFD" w14:textId="77777777" w:rsidR="00926508" w:rsidRPr="00CF6389" w:rsidRDefault="00926508" w:rsidP="00CF6389">
      <w:pPr>
        <w:shd w:val="clear" w:color="auto" w:fill="FFFFFF" w:themeFill="background1"/>
        <w:spacing w:beforeAutospacing="1" w:after="0" w:line="240" w:lineRule="auto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CF6389">
        <w:rPr>
          <w:rFonts w:ascii="Mangal Pro" w:eastAsia="Mangal Pro" w:hAnsi="Mangal Pro" w:cs="Mangal Pro"/>
          <w:b/>
          <w:bCs/>
          <w:color w:val="auto"/>
        </w:rPr>
        <w:t>What is c</w:t>
      </w:r>
      <w:r w:rsidR="006D11AD" w:rsidRPr="00CF6389">
        <w:rPr>
          <w:rFonts w:ascii="Mangal Pro" w:eastAsia="Mangal Pro" w:hAnsi="Mangal Pro" w:cs="Mangal Pro"/>
          <w:b/>
          <w:bCs/>
          <w:color w:val="auto"/>
        </w:rPr>
        <w:t>ontinuous provision</w:t>
      </w:r>
      <w:r w:rsidRPr="00CF6389">
        <w:rPr>
          <w:rFonts w:ascii="Mangal Pro" w:eastAsia="Mangal Pro" w:hAnsi="Mangal Pro" w:cs="Mangal Pro"/>
          <w:b/>
          <w:bCs/>
          <w:color w:val="auto"/>
        </w:rPr>
        <w:t>?</w:t>
      </w:r>
    </w:p>
    <w:p w14:paraId="41A732F4" w14:textId="0EC1C825" w:rsidR="00784BED" w:rsidRPr="005B7BFF" w:rsidRDefault="001513A4" w:rsidP="00CF6389">
      <w:pPr>
        <w:shd w:val="clear" w:color="auto" w:fill="FFFFFF" w:themeFill="background1"/>
        <w:spacing w:after="0" w:line="240" w:lineRule="auto"/>
        <w:jc w:val="center"/>
        <w:rPr>
          <w:rFonts w:ascii="Mangal Pro" w:eastAsia="Mangal Pro" w:hAnsi="Mangal Pro" w:cs="Mangal Pro"/>
          <w:i/>
          <w:iCs/>
          <w:color w:val="auto"/>
          <w:sz w:val="18"/>
          <w:szCs w:val="18"/>
        </w:rPr>
      </w:pPr>
      <w:r w:rsidRPr="005B7BFF">
        <w:rPr>
          <w:rFonts w:ascii="Mangal Pro" w:eastAsia="Mangal Pro" w:hAnsi="Mangal Pro" w:cs="Mangal Pro"/>
          <w:i/>
          <w:iCs/>
          <w:color w:val="auto"/>
          <w:sz w:val="18"/>
          <w:szCs w:val="18"/>
        </w:rPr>
        <w:t>“To continue the p</w:t>
      </w:r>
      <w:r w:rsidR="00CF6389" w:rsidRPr="005B7BFF">
        <w:rPr>
          <w:rFonts w:ascii="Mangal Pro" w:eastAsia="Mangal Pro" w:hAnsi="Mangal Pro" w:cs="Mangal Pro"/>
          <w:i/>
          <w:iCs/>
          <w:color w:val="auto"/>
          <w:sz w:val="18"/>
          <w:szCs w:val="18"/>
        </w:rPr>
        <w:t>r</w:t>
      </w:r>
      <w:r w:rsidRPr="005B7BFF">
        <w:rPr>
          <w:rFonts w:ascii="Mangal Pro" w:eastAsia="Mangal Pro" w:hAnsi="Mangal Pro" w:cs="Mangal Pro"/>
          <w:i/>
          <w:iCs/>
          <w:color w:val="auto"/>
          <w:sz w:val="18"/>
          <w:szCs w:val="18"/>
        </w:rPr>
        <w:t>ovision for learning in the absence of an adult.” Alistair Bryce-Clegg</w:t>
      </w:r>
    </w:p>
    <w:p w14:paraId="0D5DEF48" w14:textId="6E50230E" w:rsidR="005B7BFF" w:rsidRPr="00573394" w:rsidRDefault="00784BED" w:rsidP="00A425D5">
      <w:pPr>
        <w:shd w:val="clear" w:color="auto" w:fill="FFFFFF" w:themeFill="background1"/>
        <w:spacing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Continuous provision </w:t>
      </w:r>
      <w:r w:rsidR="006D11AD"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describes all of the different areas </w:t>
      </w:r>
      <w:r w:rsidR="008E1F6E"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of provision </w:t>
      </w:r>
      <w:r w:rsidR="006D11AD"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which are available for children to use </w:t>
      </w:r>
      <w:r w:rsidR="000E00CE"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all day, </w:t>
      </w:r>
      <w:r w:rsidR="006D11AD" w:rsidRPr="00573394">
        <w:rPr>
          <w:rFonts w:ascii="Mangal Pro" w:eastAsia="Mangal Pro" w:hAnsi="Mangal Pro" w:cs="Mangal Pro"/>
          <w:color w:val="auto"/>
          <w:sz w:val="18"/>
          <w:szCs w:val="18"/>
        </w:rPr>
        <w:t>every day</w:t>
      </w:r>
      <w:r w:rsidR="000E00CE" w:rsidRPr="00573394">
        <w:rPr>
          <w:rFonts w:ascii="Mangal Pro" w:eastAsia="Mangal Pro" w:hAnsi="Mangal Pro" w:cs="Mangal Pro"/>
          <w:color w:val="auto"/>
          <w:sz w:val="18"/>
          <w:szCs w:val="18"/>
        </w:rPr>
        <w:t>, all year round.</w:t>
      </w:r>
      <w:r w:rsidR="006D11AD"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 Within each of these areas of provision there should be a core range of resources</w:t>
      </w:r>
      <w:r w:rsidR="000934EF" w:rsidRPr="00573394">
        <w:rPr>
          <w:rFonts w:ascii="Mangal Pro" w:eastAsia="Mangal Pro" w:hAnsi="Mangal Pro" w:cs="Mangal Pro"/>
          <w:color w:val="auto"/>
          <w:sz w:val="18"/>
          <w:szCs w:val="18"/>
        </w:rPr>
        <w:t xml:space="preserve"> and activities</w:t>
      </w:r>
      <w:r w:rsidR="00C233B8" w:rsidRPr="00573394">
        <w:rPr>
          <w:rFonts w:ascii="Mangal Pro" w:eastAsia="Mangal Pro" w:hAnsi="Mangal Pro" w:cs="Mangal Pro"/>
          <w:color w:val="auto"/>
          <w:sz w:val="18"/>
          <w:szCs w:val="18"/>
        </w:rPr>
        <w:t>.</w:t>
      </w:r>
    </w:p>
    <w:p w14:paraId="61C66DD5" w14:textId="77777777" w:rsidR="000934EF" w:rsidRPr="00FD52AA" w:rsidRDefault="000934EF" w:rsidP="00A425D5">
      <w:pPr>
        <w:spacing w:after="0" w:line="240" w:lineRule="auto"/>
        <w:jc w:val="both"/>
        <w:rPr>
          <w:rFonts w:ascii="Mangal Pro" w:eastAsia="Mangal Pro" w:hAnsi="Mangal Pro" w:cs="Mangal Pro"/>
          <w:b/>
          <w:bCs/>
        </w:rPr>
      </w:pPr>
      <w:r w:rsidRPr="00FD52AA">
        <w:rPr>
          <w:rFonts w:ascii="Mangal Pro" w:eastAsia="Mangal Pro" w:hAnsi="Mangal Pro" w:cs="Mangal Pro"/>
          <w:b/>
          <w:bCs/>
        </w:rPr>
        <w:t>Things to consider</w:t>
      </w:r>
    </w:p>
    <w:p w14:paraId="6DD0C738" w14:textId="7D94C146" w:rsidR="00573394" w:rsidRPr="00A425D5" w:rsidRDefault="00C72515" w:rsidP="002266F2">
      <w:pPr>
        <w:pStyle w:val="ListParagraph"/>
        <w:numPr>
          <w:ilvl w:val="0"/>
          <w:numId w:val="13"/>
        </w:numPr>
        <w:shd w:val="clear" w:color="auto" w:fill="FFFFFF" w:themeFill="background1"/>
        <w:spacing w:afterAutospacing="1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Remember, your c</w:t>
      </w:r>
      <w:r w:rsidR="00573394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ontinuous provision should be informed and supported by your </w:t>
      </w:r>
      <w:r w:rsidR="00573394"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observations, planning and assessment of children.</w:t>
      </w:r>
      <w:r w:rsidR="00573394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</w:p>
    <w:p w14:paraId="19CFB2E5" w14:textId="05C92835" w:rsidR="00296D1C" w:rsidRPr="00A425D5" w:rsidRDefault="00296D1C" w:rsidP="002266F2">
      <w:pPr>
        <w:pStyle w:val="ListParagraph"/>
        <w:numPr>
          <w:ilvl w:val="0"/>
          <w:numId w:val="13"/>
        </w:num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Ensure you always consider the </w:t>
      </w: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development levels of all children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using the space.</w:t>
      </w:r>
    </w:p>
    <w:p w14:paraId="6B06E98A" w14:textId="279C6B2E" w:rsidR="00C72515" w:rsidRPr="00A425D5" w:rsidRDefault="00C72515" w:rsidP="002266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Consider auditing the resources that you always have available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. What skills would you like children to master through repeated access to these resources</w:t>
      </w:r>
      <w:r w:rsidR="00EC751F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? Use this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to ensure you have everything you need. </w:t>
      </w:r>
    </w:p>
    <w:p w14:paraId="73CC9B8D" w14:textId="58D3861E" w:rsidR="00907898" w:rsidRPr="00A425D5" w:rsidRDefault="00907898" w:rsidP="002266F2">
      <w:pPr>
        <w:pStyle w:val="ListParagraph"/>
        <w:numPr>
          <w:ilvl w:val="0"/>
          <w:numId w:val="13"/>
        </w:num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Are the resources easily </w:t>
      </w: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accessible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to promote self-directed learning and independent decision making?</w:t>
      </w:r>
    </w:p>
    <w:p w14:paraId="3121ABE7" w14:textId="0A788FA2" w:rsidR="00907898" w:rsidRPr="00A425D5" w:rsidRDefault="002C3F0F" w:rsidP="002266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Is the environment organised in a way that it </w:t>
      </w:r>
      <w:r w:rsidRPr="002266F2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inspires children to explore, interact and problem-solve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?</w:t>
      </w:r>
      <w:r w:rsidR="00A425D5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Are there enough open-ended opportunities to accommodate spontaneous learning opportunities?</w:t>
      </w:r>
    </w:p>
    <w:p w14:paraId="6710D682" w14:textId="5C5B7563" w:rsidR="00573394" w:rsidRPr="00A425D5" w:rsidRDefault="00573394" w:rsidP="002266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Plan how the continuous provision and enabling environment will </w:t>
      </w: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support a child’s next steps.</w:t>
      </w:r>
    </w:p>
    <w:p w14:paraId="3AD33599" w14:textId="6FD95288" w:rsidR="00573394" w:rsidRPr="00A425D5" w:rsidRDefault="00573394" w:rsidP="002266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Think about the </w:t>
      </w: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needs</w:t>
      </w:r>
      <w:r w:rsidR="00296D1C"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,</w:t>
      </w: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 interests</w:t>
      </w:r>
      <w:r w:rsidR="00296D1C"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 and fascinations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of your current children and which resources you have</w:t>
      </w:r>
      <w:r w:rsidR="00296D1C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available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to develop the</w:t>
      </w:r>
      <w:r w:rsidR="00296D1C" w:rsidRPr="00A425D5">
        <w:rPr>
          <w:rFonts w:ascii="Mangal Pro" w:eastAsia="Mangal Pro" w:hAnsi="Mangal Pro" w:cs="Mangal Pro"/>
          <w:color w:val="auto"/>
          <w:sz w:val="18"/>
          <w:szCs w:val="18"/>
        </w:rPr>
        <w:t>se.</w:t>
      </w:r>
    </w:p>
    <w:p w14:paraId="04C217DE" w14:textId="4ECFC944" w:rsidR="525991CB" w:rsidRPr="00A425D5" w:rsidRDefault="16C6308E" w:rsidP="002266F2">
      <w:pPr>
        <w:pStyle w:val="ListParagraph"/>
        <w:numPr>
          <w:ilvl w:val="0"/>
          <w:numId w:val="13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Consider</w:t>
      </w:r>
      <w:r w:rsidR="00907898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907898" w:rsidRPr="002266F2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appropriate</w:t>
      </w:r>
      <w:r w:rsidRPr="002266F2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 placement of your </w:t>
      </w:r>
      <w:r w:rsidR="00907898" w:rsidRPr="002266F2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learning </w:t>
      </w:r>
      <w:r w:rsidR="00EC751F" w:rsidRPr="002266F2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areas</w:t>
      </w:r>
      <w:r w:rsidR="00907898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e.g. how could you keep your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wet and dry areas </w:t>
      </w:r>
      <w:r w:rsidR="00907898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separate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within your environment</w:t>
      </w:r>
      <w:r w:rsidR="0076266C" w:rsidRPr="00A425D5">
        <w:rPr>
          <w:noProof/>
        </w:rPr>
        <w:drawing>
          <wp:anchor distT="0" distB="0" distL="114300" distR="114300" simplePos="0" relativeHeight="251658242" behindDoc="0" locked="0" layoutInCell="1" allowOverlap="1" wp14:anchorId="0E54E4F2" wp14:editId="5C12D3A9">
            <wp:simplePos x="0" y="0"/>
            <wp:positionH relativeFrom="margin">
              <wp:posOffset>3853815</wp:posOffset>
            </wp:positionH>
            <wp:positionV relativeFrom="paragraph">
              <wp:posOffset>8890</wp:posOffset>
            </wp:positionV>
            <wp:extent cx="1866265" cy="1244600"/>
            <wp:effectExtent l="0" t="0" r="635" b="0"/>
            <wp:wrapSquare wrapText="bothSides"/>
            <wp:docPr id="299095173" name="Picture 29909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24460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5D5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so children can look after spaces well themselves?</w:t>
      </w:r>
    </w:p>
    <w:p w14:paraId="2FD4332D" w14:textId="59F20BB7" w:rsidR="00573394" w:rsidRPr="00A425D5" w:rsidRDefault="00212BB7" w:rsidP="002266F2">
      <w:pPr>
        <w:pStyle w:val="ListParagraph"/>
        <w:numPr>
          <w:ilvl w:val="0"/>
          <w:numId w:val="13"/>
        </w:num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Do you have spaces which 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encourage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children to </w:t>
      </w:r>
      <w:r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work together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as well as spaces for children to </w:t>
      </w:r>
      <w:r w:rsidR="00296D1C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access when they are ready for </w:t>
      </w:r>
      <w:r w:rsidR="00296D1C" w:rsidRPr="00A425D5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quiet time</w:t>
      </w:r>
      <w:r w:rsidR="00296D1C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? </w:t>
      </w:r>
    </w:p>
    <w:p w14:paraId="56E71A32" w14:textId="5854C91D" w:rsidR="0043232E" w:rsidRPr="00A425D5" w:rsidRDefault="00A425D5" w:rsidP="002266F2">
      <w:pPr>
        <w:pStyle w:val="ListParagraph"/>
        <w:numPr>
          <w:ilvl w:val="0"/>
          <w:numId w:val="13"/>
        </w:num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I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s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the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provision </w:t>
      </w:r>
      <w:r w:rsidR="0043232E" w:rsidRPr="002266F2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flexible and adaptable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>? C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ould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 it be easily changed as 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 xml:space="preserve">children’s needs and 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>interest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s c</w:t>
      </w:r>
      <w:r w:rsidR="0043232E" w:rsidRPr="00A425D5">
        <w:rPr>
          <w:rFonts w:ascii="Mangal Pro" w:eastAsia="Mangal Pro" w:hAnsi="Mangal Pro" w:cs="Mangal Pro"/>
          <w:color w:val="auto"/>
          <w:sz w:val="18"/>
          <w:szCs w:val="18"/>
        </w:rPr>
        <w:t>hange</w:t>
      </w:r>
      <w:r w:rsidRPr="00A425D5">
        <w:rPr>
          <w:rFonts w:ascii="Mangal Pro" w:eastAsia="Mangal Pro" w:hAnsi="Mangal Pro" w:cs="Mangal Pro"/>
          <w:color w:val="auto"/>
          <w:sz w:val="18"/>
          <w:szCs w:val="18"/>
        </w:rPr>
        <w:t>?</w:t>
      </w:r>
    </w:p>
    <w:p w14:paraId="3868200B" w14:textId="57E14666" w:rsidR="0043232E" w:rsidRPr="00A61386" w:rsidRDefault="0043232E" w:rsidP="00A61386">
      <w:pPr>
        <w:spacing w:after="0"/>
        <w:rPr>
          <w:rFonts w:ascii="Mangal Pro" w:eastAsia="Mangal Pro" w:hAnsi="Mangal Pro" w:cs="Mangal Pro"/>
          <w:b/>
          <w:bCs/>
        </w:rPr>
      </w:pPr>
      <w:r w:rsidRPr="00A61386">
        <w:rPr>
          <w:rFonts w:ascii="Mangal Pro" w:eastAsia="Mangal Pro" w:hAnsi="Mangal Pro" w:cs="Mangal Pro"/>
          <w:b/>
          <w:bCs/>
        </w:rPr>
        <w:t>What next?</w:t>
      </w:r>
      <w:r w:rsidR="00C72515">
        <w:rPr>
          <w:rFonts w:ascii="Mangal Pro" w:eastAsia="Mangal Pro" w:hAnsi="Mangal Pro" w:cs="Mangal Pro"/>
          <w:b/>
          <w:bCs/>
        </w:rPr>
        <w:t xml:space="preserve"> Remember to evaluate!</w:t>
      </w:r>
    </w:p>
    <w:p w14:paraId="3A89A3D4" w14:textId="77777777" w:rsidR="00A61386" w:rsidRPr="00A61386" w:rsidRDefault="0043232E" w:rsidP="002266F2">
      <w:pPr>
        <w:pStyle w:val="ListParagraph"/>
        <w:numPr>
          <w:ilvl w:val="0"/>
          <w:numId w:val="12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Stand back and observe how children are using the continuous provision</w:t>
      </w:r>
    </w:p>
    <w:p w14:paraId="270BF87A" w14:textId="01CD82C8" w:rsidR="00A61386" w:rsidRPr="00A61386" w:rsidRDefault="00A61386" w:rsidP="002266F2">
      <w:pPr>
        <w:pStyle w:val="ListParagraph"/>
        <w:numPr>
          <w:ilvl w:val="0"/>
          <w:numId w:val="12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Look at w</w:t>
      </w:r>
      <w:r w:rsidR="0043232E" w:rsidRPr="00A61386">
        <w:rPr>
          <w:rFonts w:ascii="Mangal Pro" w:eastAsia="Mangal Pro" w:hAnsi="Mangal Pro" w:cs="Mangal Pro"/>
          <w:sz w:val="18"/>
          <w:szCs w:val="18"/>
        </w:rPr>
        <w:t>h</w:t>
      </w:r>
      <w:r w:rsidR="00013828">
        <w:rPr>
          <w:rFonts w:ascii="Mangal Pro" w:eastAsia="Mangal Pro" w:hAnsi="Mangal Pro" w:cs="Mangal Pro"/>
          <w:sz w:val="18"/>
          <w:szCs w:val="18"/>
        </w:rPr>
        <w:t>ich</w:t>
      </w:r>
      <w:r w:rsidR="0043232E" w:rsidRPr="00A61386">
        <w:rPr>
          <w:rFonts w:ascii="Mangal Pro" w:eastAsia="Mangal Pro" w:hAnsi="Mangal Pro" w:cs="Mangal Pro"/>
          <w:sz w:val="18"/>
          <w:szCs w:val="18"/>
        </w:rPr>
        <w:t xml:space="preserve"> areas </w:t>
      </w:r>
      <w:r w:rsidRPr="00A61386">
        <w:rPr>
          <w:rFonts w:ascii="Mangal Pro" w:eastAsia="Mangal Pro" w:hAnsi="Mangal Pro" w:cs="Mangal Pro"/>
          <w:sz w:val="18"/>
          <w:szCs w:val="18"/>
        </w:rPr>
        <w:t>the</w:t>
      </w:r>
      <w:r w:rsidR="0043232E" w:rsidRPr="00A61386">
        <w:rPr>
          <w:rFonts w:ascii="Mangal Pro" w:eastAsia="Mangal Pro" w:hAnsi="Mangal Pro" w:cs="Mangal Pro"/>
          <w:sz w:val="18"/>
          <w:szCs w:val="18"/>
        </w:rPr>
        <w:t xml:space="preserve"> children </w:t>
      </w:r>
      <w:r w:rsidRPr="00A61386">
        <w:rPr>
          <w:rFonts w:ascii="Mangal Pro" w:eastAsia="Mangal Pro" w:hAnsi="Mangal Pro" w:cs="Mangal Pro"/>
          <w:sz w:val="18"/>
          <w:szCs w:val="18"/>
        </w:rPr>
        <w:t xml:space="preserve">frequently </w:t>
      </w:r>
      <w:r w:rsidR="0043232E" w:rsidRPr="00A61386">
        <w:rPr>
          <w:rFonts w:ascii="Mangal Pro" w:eastAsia="Mangal Pro" w:hAnsi="Mangal Pro" w:cs="Mangal Pro"/>
          <w:sz w:val="18"/>
          <w:szCs w:val="18"/>
        </w:rPr>
        <w:t>access</w:t>
      </w:r>
      <w:r w:rsidRPr="00A61386">
        <w:rPr>
          <w:rFonts w:ascii="Mangal Pro" w:eastAsia="Mangal Pro" w:hAnsi="Mangal Pro" w:cs="Mangal Pro"/>
          <w:sz w:val="18"/>
          <w:szCs w:val="18"/>
        </w:rPr>
        <w:t>, and consider if there are any areas that are not being accessed?</w:t>
      </w:r>
    </w:p>
    <w:p w14:paraId="37C45B04" w14:textId="33548F8E" w:rsidR="00A61386" w:rsidRPr="00C72515" w:rsidRDefault="00C72515" w:rsidP="002266F2">
      <w:pPr>
        <w:pStyle w:val="ListParagraph"/>
        <w:numPr>
          <w:ilvl w:val="0"/>
          <w:numId w:val="12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C72515">
        <w:rPr>
          <w:rFonts w:ascii="Mangal Pro" w:eastAsia="Mangal Pro" w:hAnsi="Mangal Pro" w:cs="Mangal Pro"/>
          <w:sz w:val="18"/>
          <w:szCs w:val="18"/>
        </w:rPr>
        <w:t xml:space="preserve">How do children transition between the areas/activities? Is it smooth or are there some challenges? </w:t>
      </w:r>
      <w:r w:rsidR="0043232E" w:rsidRPr="00C72515">
        <w:rPr>
          <w:rFonts w:ascii="Mangal Pro" w:eastAsia="Mangal Pro" w:hAnsi="Mangal Pro" w:cs="Mangal Pro"/>
          <w:sz w:val="18"/>
          <w:szCs w:val="18"/>
        </w:rPr>
        <w:t xml:space="preserve">Are there any signs of frustration </w:t>
      </w:r>
      <w:r w:rsidR="00A61386" w:rsidRPr="00C72515">
        <w:rPr>
          <w:rFonts w:ascii="Mangal Pro" w:eastAsia="Mangal Pro" w:hAnsi="Mangal Pro" w:cs="Mangal Pro"/>
          <w:sz w:val="18"/>
          <w:szCs w:val="18"/>
        </w:rPr>
        <w:t>from children</w:t>
      </w:r>
      <w:r w:rsidR="0043232E" w:rsidRPr="00C72515">
        <w:rPr>
          <w:rFonts w:ascii="Mangal Pro" w:eastAsia="Mangal Pro" w:hAnsi="Mangal Pro" w:cs="Mangal Pro"/>
          <w:sz w:val="18"/>
          <w:szCs w:val="18"/>
        </w:rPr>
        <w:t xml:space="preserve">? </w:t>
      </w:r>
    </w:p>
    <w:p w14:paraId="5678A86D" w14:textId="77777777" w:rsidR="00C72515" w:rsidRDefault="0043232E" w:rsidP="002266F2">
      <w:pPr>
        <w:pStyle w:val="ListParagraph"/>
        <w:numPr>
          <w:ilvl w:val="0"/>
          <w:numId w:val="12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Can you observe the characteristics of effective learning in children’s play</w:t>
      </w:r>
      <w:r w:rsidR="00A61386" w:rsidRPr="00A61386">
        <w:rPr>
          <w:rFonts w:ascii="Mangal Pro" w:eastAsia="Mangal Pro" w:hAnsi="Mangal Pro" w:cs="Mangal Pro"/>
          <w:sz w:val="18"/>
          <w:szCs w:val="18"/>
        </w:rPr>
        <w:t xml:space="preserve"> whilst accessing the provision</w:t>
      </w:r>
      <w:r w:rsidRPr="00A61386">
        <w:rPr>
          <w:rFonts w:ascii="Mangal Pro" w:eastAsia="Mangal Pro" w:hAnsi="Mangal Pro" w:cs="Mangal Pro"/>
          <w:sz w:val="18"/>
          <w:szCs w:val="18"/>
        </w:rPr>
        <w:t xml:space="preserve">? </w:t>
      </w:r>
    </w:p>
    <w:p w14:paraId="14A9BA88" w14:textId="05A91D04" w:rsidR="0076266C" w:rsidRDefault="00DD6C2D" w:rsidP="002266F2">
      <w:pPr>
        <w:pStyle w:val="ListParagraph"/>
        <w:numPr>
          <w:ilvl w:val="0"/>
          <w:numId w:val="12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C72515">
        <w:rPr>
          <w:rFonts w:ascii="Mangal Pro" w:eastAsia="Mangal Pro" w:hAnsi="Mangal Pro" w:cs="Mangal Pro"/>
          <w:sz w:val="18"/>
          <w:szCs w:val="18"/>
        </w:rPr>
        <w:lastRenderedPageBreak/>
        <w:t xml:space="preserve">Do children have the skills and knowledge </w:t>
      </w:r>
      <w:r w:rsidR="00C72515" w:rsidRPr="00C72515">
        <w:rPr>
          <w:rFonts w:ascii="Mangal Pro" w:eastAsia="Mangal Pro" w:hAnsi="Mangal Pro" w:cs="Mangal Pro"/>
          <w:sz w:val="18"/>
          <w:szCs w:val="18"/>
        </w:rPr>
        <w:t>needed</w:t>
      </w:r>
      <w:r w:rsidRPr="00C72515">
        <w:rPr>
          <w:rFonts w:ascii="Mangal Pro" w:eastAsia="Mangal Pro" w:hAnsi="Mangal Pro" w:cs="Mangal Pro"/>
          <w:sz w:val="18"/>
          <w:szCs w:val="18"/>
        </w:rPr>
        <w:t xml:space="preserve"> to engage</w:t>
      </w:r>
      <w:r w:rsidR="00C72515" w:rsidRPr="00C72515">
        <w:rPr>
          <w:rFonts w:ascii="Mangal Pro" w:eastAsia="Mangal Pro" w:hAnsi="Mangal Pro" w:cs="Mangal Pro"/>
          <w:sz w:val="18"/>
          <w:szCs w:val="18"/>
        </w:rPr>
        <w:t xml:space="preserve"> with the </w:t>
      </w:r>
      <w:r w:rsidRPr="00C72515">
        <w:rPr>
          <w:rFonts w:ascii="Mangal Pro" w:eastAsia="Mangal Pro" w:hAnsi="Mangal Pro" w:cs="Mangal Pro"/>
          <w:sz w:val="18"/>
          <w:szCs w:val="18"/>
        </w:rPr>
        <w:t>environment without adult intervention?</w:t>
      </w:r>
    </w:p>
    <w:p w14:paraId="09D4A36E" w14:textId="5C33DAC0" w:rsidR="00A425D5" w:rsidRDefault="00A425D5" w:rsidP="002266F2">
      <w:pPr>
        <w:pStyle w:val="ListParagraph"/>
        <w:numPr>
          <w:ilvl w:val="0"/>
          <w:numId w:val="12"/>
        </w:numPr>
        <w:jc w:val="both"/>
        <w:rPr>
          <w:rFonts w:ascii="Mangal Pro" w:eastAsia="Mangal Pro" w:hAnsi="Mangal Pro" w:cs="Mangal Pro"/>
          <w:sz w:val="18"/>
          <w:szCs w:val="18"/>
        </w:rPr>
      </w:pPr>
      <w:r w:rsidRPr="00A425D5">
        <w:rPr>
          <w:rFonts w:ascii="Mangal Pro" w:eastAsia="Mangal Pro" w:hAnsi="Mangal Pro" w:cs="Mangal Pro"/>
          <w:sz w:val="18"/>
          <w:szCs w:val="18"/>
        </w:rPr>
        <w:t>Think about what ‘enhancements’ could be added to further support children’s development</w:t>
      </w:r>
    </w:p>
    <w:p w14:paraId="642940CE" w14:textId="77777777" w:rsidR="004C2622" w:rsidRDefault="004C2622" w:rsidP="004C2622">
      <w:pPr>
        <w:spacing w:after="0"/>
        <w:rPr>
          <w:rFonts w:ascii="Mangal Pro" w:eastAsia="Mangal Pro" w:hAnsi="Mangal Pro" w:cs="Mangal Pro"/>
          <w:b/>
          <w:bCs/>
        </w:rPr>
      </w:pPr>
      <w:r w:rsidRPr="00C22B97">
        <w:rPr>
          <w:rFonts w:ascii="Mangal Pro" w:eastAsia="Mangal Pro" w:hAnsi="Mangal Pro" w:cs="Mangal Pro"/>
          <w:b/>
          <w:bCs/>
        </w:rPr>
        <w:t>Examples of continuous provision</w:t>
      </w:r>
    </w:p>
    <w:p w14:paraId="1DA7F96D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Water, sand and sensory play</w:t>
      </w:r>
    </w:p>
    <w:p w14:paraId="5018953A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A range of books / magazines / recipe books / story sacks / props and puppets</w:t>
      </w:r>
    </w:p>
    <w:p w14:paraId="5A21A89C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A range of mark making tools and a variety of surfaces to make marks on e.g. different sizes of paper, chalkboards, wipe boards, wallpaper rolls etc.</w:t>
      </w:r>
    </w:p>
    <w:p w14:paraId="584E6101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Large and small equipment for developing physical skills</w:t>
      </w:r>
    </w:p>
    <w:p w14:paraId="51EC58A0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 xml:space="preserve">A range of jigsaws, puzzles and games </w:t>
      </w:r>
    </w:p>
    <w:p w14:paraId="7310D63A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Construction / Block play / Duplo / Lego etc</w:t>
      </w:r>
    </w:p>
    <w:p w14:paraId="67F762AF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 xml:space="preserve">Small world resources </w:t>
      </w:r>
    </w:p>
    <w:p w14:paraId="1891B7E8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 xml:space="preserve">Role-play equipment relevant to the children’s interests and experiences </w:t>
      </w:r>
    </w:p>
    <w:p w14:paraId="2948FB13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Real-life objects e.g. real food and packaging in the home corner, real telephones, keyboards, weighing scales etc</w:t>
      </w:r>
    </w:p>
    <w:p w14:paraId="6FD4DFCA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Measuring equipment e.g. tapes, rulers, scales, measuring jugs, timers, clocks etc.</w:t>
      </w:r>
    </w:p>
    <w:p w14:paraId="549A4B0F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Open-ended resources e.g. different size boxes, tubes, den making equipment</w:t>
      </w:r>
    </w:p>
    <w:p w14:paraId="3E3E4FE6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Loose parts (natural or man-made materials) e.g. bottle tops, wooden curtain rings, pinecones, twigs, wood slices, leaves</w:t>
      </w:r>
    </w:p>
    <w:p w14:paraId="778BEF09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Treasure baskets</w:t>
      </w:r>
    </w:p>
    <w:p w14:paraId="4E5E2D38" w14:textId="77777777" w:rsidR="004C2622" w:rsidRPr="00A61386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Technology equipment</w:t>
      </w:r>
    </w:p>
    <w:p w14:paraId="149A9DF6" w14:textId="66B5BBCC" w:rsidR="00A425D5" w:rsidRPr="004C2622" w:rsidRDefault="004C2622" w:rsidP="004C2622">
      <w:pPr>
        <w:pStyle w:val="ListParagraph"/>
        <w:numPr>
          <w:ilvl w:val="0"/>
          <w:numId w:val="12"/>
        </w:numPr>
        <w:spacing w:after="0"/>
        <w:rPr>
          <w:rFonts w:ascii="Mangal Pro" w:eastAsia="Mangal Pro" w:hAnsi="Mangal Pro" w:cs="Mangal Pro"/>
          <w:b/>
          <w:bCs/>
          <w:sz w:val="18"/>
          <w:szCs w:val="18"/>
        </w:rPr>
      </w:pPr>
      <w:r w:rsidRPr="00A61386">
        <w:rPr>
          <w:rFonts w:ascii="Mangal Pro" w:eastAsia="Mangal Pro" w:hAnsi="Mangal Pro" w:cs="Mangal Pro"/>
          <w:sz w:val="18"/>
          <w:szCs w:val="18"/>
        </w:rPr>
        <w:t>Exploration equipment e.g. magnifying glasses, collecting boxes.</w:t>
      </w:r>
    </w:p>
    <w:p w14:paraId="4C75754E" w14:textId="39DECCCA" w:rsidR="00A425D5" w:rsidRDefault="007F31F5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  <w:r w:rsidRPr="0076266C">
        <w:rPr>
          <w:rFonts w:ascii="Mangal Pro" w:eastAsia="Mangal Pro" w:hAnsi="Mangal Pro" w:cs="Mangal Pro"/>
          <w:b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6B61518F">
                <wp:simplePos x="0" y="0"/>
                <wp:positionH relativeFrom="margin">
                  <wp:align>right</wp:align>
                </wp:positionH>
                <wp:positionV relativeFrom="paragraph">
                  <wp:posOffset>81203</wp:posOffset>
                </wp:positionV>
                <wp:extent cx="5718964" cy="1442720"/>
                <wp:effectExtent l="0" t="0" r="15240" b="2413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964" cy="14427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5938F639" w:rsidR="00D820E1" w:rsidRDefault="00D820E1" w:rsidP="00070528">
                            <w:pPr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76266C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76266C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</w:p>
                          <w:p w14:paraId="432E0C30" w14:textId="36D536F7" w:rsidR="00296D1C" w:rsidRPr="007F31F5" w:rsidRDefault="007F31F5" w:rsidP="007F31F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Ensure your provision</w:t>
                            </w:r>
                            <w:r w:rsidR="00296D1C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reflects</w:t>
                            </w:r>
                            <w:r w:rsidR="00296D1C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the diverse needs and abilities of all the children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EC45E2" w14:textId="6565BE3F" w:rsidR="00A61386" w:rsidRPr="007F31F5" w:rsidRDefault="007F31F5" w:rsidP="007F31F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Ensure your environment</w:t>
                            </w:r>
                            <w:r w:rsidR="00A61386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allows </w:t>
                            </w:r>
                            <w:r w:rsidR="00A61386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all children to participate regardless of gender, abilities, language or background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C958975" w14:textId="7D4305A3" w:rsidR="006D40B8" w:rsidRPr="007F31F5" w:rsidRDefault="007F31F5" w:rsidP="00147DB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Consider any</w:t>
                            </w:r>
                            <w:r w:rsidR="00A61386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adaptations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that may be</w:t>
                            </w:r>
                            <w:r w:rsidR="00A61386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required to cater for the diverse needs of 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all</w:t>
                            </w:r>
                            <w:r w:rsidR="00A61386" w:rsidRPr="007F31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children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left:0;text-align:left;margin-left:399.1pt;margin-top:6.4pt;width:450.3pt;height:113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24A8147" w14:textId="5938F639" w:rsidR="00D820E1" w:rsidRDefault="00D820E1" w:rsidP="00070528">
                      <w:pPr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76266C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76266C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</w:p>
                    <w:p w14:paraId="432E0C30" w14:textId="36D536F7" w:rsidR="00296D1C" w:rsidRPr="007F31F5" w:rsidRDefault="007F31F5" w:rsidP="007F31F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Ensure your provision</w:t>
                      </w:r>
                      <w:r w:rsidR="00296D1C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reflects</w:t>
                      </w:r>
                      <w:r w:rsidR="00296D1C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the diverse needs and abilities of all the children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53EC45E2" w14:textId="6565BE3F" w:rsidR="00A61386" w:rsidRPr="007F31F5" w:rsidRDefault="007F31F5" w:rsidP="007F31F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Ensure your environment</w:t>
                      </w:r>
                      <w:r w:rsidR="00A61386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allows </w:t>
                      </w:r>
                      <w:r w:rsidR="00A61386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all children to participate regardless of gender, abilities, language or background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1C958975" w14:textId="7D4305A3" w:rsidR="006D40B8" w:rsidRPr="007F31F5" w:rsidRDefault="007F31F5" w:rsidP="00147DB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Mangal Pro" w:eastAsia="Mangal Pro" w:hAnsi="Mangal Pro" w:cs="Mangal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Consider any</w:t>
                      </w:r>
                      <w:r w:rsidR="00A61386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adaptations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that may be</w:t>
                      </w:r>
                      <w:r w:rsidR="00A61386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required to cater for the diverse needs of 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all</w:t>
                      </w:r>
                      <w:r w:rsidR="00A61386" w:rsidRPr="007F31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children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7D37A" w14:textId="29074536" w:rsidR="00A425D5" w:rsidRDefault="00A425D5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152856AC" w14:textId="50391B72" w:rsidR="00A425D5" w:rsidRDefault="00A425D5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1A4A8575" w14:textId="77777777" w:rsidR="004C2622" w:rsidRDefault="004C2622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4A20663A" w14:textId="77777777" w:rsidR="00D6526A" w:rsidRPr="00D6526A" w:rsidRDefault="00D6526A" w:rsidP="00276BDA">
      <w:pPr>
        <w:jc w:val="both"/>
        <w:rPr>
          <w:rFonts w:ascii="Mangal Pro" w:eastAsia="Mangal Pro" w:hAnsi="Mangal Pro" w:cs="Mangal Pro"/>
          <w:b/>
          <w:bCs/>
          <w:color w:val="auto"/>
          <w:sz w:val="4"/>
          <w:szCs w:val="4"/>
        </w:rPr>
      </w:pPr>
    </w:p>
    <w:p w14:paraId="06D00B89" w14:textId="5FA6A59A" w:rsidR="00227835" w:rsidRDefault="00764420" w:rsidP="00335D37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76266C">
        <w:rPr>
          <w:rFonts w:ascii="Mangal Pro" w:eastAsia="Mangal Pro" w:hAnsi="Mangal Pro" w:cs="Mangal Pro"/>
          <w:b/>
          <w:bCs/>
          <w:color w:val="auto"/>
        </w:rPr>
        <w:t>Helpful links</w:t>
      </w:r>
      <w:r w:rsidR="0076266C" w:rsidRPr="0076266C">
        <w:rPr>
          <w:rFonts w:ascii="Mangal Pro" w:eastAsia="Mangal Pro" w:hAnsi="Mangal Pro" w:cs="Mangal Pro"/>
          <w:b/>
          <w:bCs/>
          <w:color w:val="auto"/>
        </w:rPr>
        <w:t xml:space="preserve"> and resources</w:t>
      </w:r>
    </w:p>
    <w:p w14:paraId="6817FBEF" w14:textId="2FEFCEA3" w:rsidR="00335D37" w:rsidRPr="00994A06" w:rsidRDefault="00335D37" w:rsidP="004314B5">
      <w:pPr>
        <w:spacing w:after="0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1" w:history="1">
        <w:r w:rsidRPr="00994A06">
          <w:rPr>
            <w:rStyle w:val="Hyperlink"/>
            <w:rFonts w:ascii="Mangal Pro" w:eastAsia="Mangal Pro" w:hAnsi="Mangal Pro" w:cs="Mangal Pro"/>
            <w:sz w:val="18"/>
            <w:szCs w:val="18"/>
          </w:rPr>
          <w:t>Early Excellence: What is Continuous Provision and why is it important?</w:t>
        </w:r>
      </w:hyperlink>
    </w:p>
    <w:p w14:paraId="3CBBC418" w14:textId="1C917803" w:rsidR="004314B5" w:rsidRPr="00994A06" w:rsidRDefault="004314B5" w:rsidP="004314B5">
      <w:pPr>
        <w:spacing w:after="0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2" w:history="1">
        <w:r w:rsidRPr="00994A06">
          <w:rPr>
            <w:rStyle w:val="Hyperlink"/>
            <w:rFonts w:ascii="Mangal Pro" w:eastAsia="Mangal Pro" w:hAnsi="Mangal Pro" w:cs="Mangal Pro"/>
            <w:sz w:val="18"/>
            <w:szCs w:val="18"/>
          </w:rPr>
          <w:t>NDNA: Continuous-Provision</w:t>
        </w:r>
      </w:hyperlink>
    </w:p>
    <w:p w14:paraId="7318CAAC" w14:textId="1F087670" w:rsidR="00A425D5" w:rsidRPr="0076266C" w:rsidRDefault="0058191D" w:rsidP="00833F80">
      <w:pPr>
        <w:tabs>
          <w:tab w:val="left" w:pos="1500"/>
        </w:tabs>
        <w:jc w:val="both"/>
        <w:rPr>
          <w:rFonts w:ascii="Mangal Pro" w:eastAsia="Mangal Pro" w:hAnsi="Mangal Pro" w:cs="Mangal Pro"/>
          <w:color w:val="4472C4" w:themeColor="accent1"/>
          <w:sz w:val="18"/>
          <w:szCs w:val="18"/>
        </w:rPr>
      </w:pPr>
      <w:r>
        <w:rPr>
          <w:noProof/>
        </w:rPr>
        <w:drawing>
          <wp:inline distT="0" distB="0" distL="0" distR="0" wp14:anchorId="1E99947E" wp14:editId="7F6A9C8B">
            <wp:extent cx="1120536" cy="1540910"/>
            <wp:effectExtent l="0" t="0" r="3810" b="2540"/>
            <wp:docPr id="1316901875" name="Picture 2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ct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9" r="15895"/>
                    <a:stretch/>
                  </pic:blipFill>
                  <pic:spPr bwMode="auto">
                    <a:xfrm>
                      <a:off x="0" y="0"/>
                      <a:ext cx="1130183" cy="155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03AA">
        <w:rPr>
          <w:noProof/>
        </w:rPr>
        <w:drawing>
          <wp:inline distT="0" distB="0" distL="0" distR="0" wp14:anchorId="3F9AB4D2" wp14:editId="2A0D21F0">
            <wp:extent cx="1143302" cy="1542912"/>
            <wp:effectExtent l="0" t="0" r="0" b="635"/>
            <wp:docPr id="1826716215" name="Picture 4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duct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2" r="15415"/>
                    <a:stretch/>
                  </pic:blipFill>
                  <pic:spPr bwMode="auto">
                    <a:xfrm>
                      <a:off x="0" y="0"/>
                      <a:ext cx="1153610" cy="15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03AA">
        <w:rPr>
          <w:noProof/>
        </w:rPr>
        <w:drawing>
          <wp:inline distT="0" distB="0" distL="0" distR="0" wp14:anchorId="1BEDE106" wp14:editId="1962D3F8">
            <wp:extent cx="1089241" cy="1543126"/>
            <wp:effectExtent l="0" t="0" r="0" b="0"/>
            <wp:docPr id="2074754362" name="Picture 5" descr="A poster with pictures of childr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54362" name="Picture 5" descr="A poster with pictures of childr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385" cy="15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464">
        <w:rPr>
          <w:rFonts w:ascii="Mangal Pro" w:eastAsia="Mangal Pro" w:hAnsi="Mangal Pro" w:cs="Mangal Pro"/>
          <w:color w:val="4472C4" w:themeColor="accent1"/>
          <w:sz w:val="18"/>
          <w:szCs w:val="18"/>
        </w:rPr>
        <w:t xml:space="preserve"> </w:t>
      </w:r>
      <w:r w:rsidR="00F93464">
        <w:rPr>
          <w:noProof/>
        </w:rPr>
        <w:drawing>
          <wp:inline distT="0" distB="0" distL="0" distR="0" wp14:anchorId="3CE55B41" wp14:editId="7C921D38">
            <wp:extent cx="1078585" cy="1528030"/>
            <wp:effectExtent l="0" t="0" r="7620" b="0"/>
            <wp:docPr id="761094070" name="Picture 6" descr="Enabling Environments in the Early Years: Making provision for high quality and challenging learning experiences in early years settings (Early Childhood Essentials) by Liz Hodgman (2015-09-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abling Environments in the Early Years: Making provision for high quality and challenging learning experiences in early years settings (Early Childhood Essentials) by Liz Hodgman (2015-09-03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294" cy="155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514">
        <w:rPr>
          <w:rFonts w:ascii="Mangal Pro" w:eastAsia="Mangal Pro" w:hAnsi="Mangal Pro" w:cs="Mangal Pro"/>
          <w:color w:val="4472C4" w:themeColor="accent1"/>
          <w:sz w:val="18"/>
          <w:szCs w:val="18"/>
        </w:rPr>
        <w:t xml:space="preserve"> </w:t>
      </w:r>
      <w:r w:rsidR="008C1514">
        <w:rPr>
          <w:noProof/>
        </w:rPr>
        <w:drawing>
          <wp:inline distT="0" distB="0" distL="0" distR="0" wp14:anchorId="3438FD1C" wp14:editId="7E4ADF3B">
            <wp:extent cx="1095751" cy="1527286"/>
            <wp:effectExtent l="0" t="0" r="9525" b="0"/>
            <wp:docPr id="995082771" name="Picture 7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duct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1" r="16525"/>
                    <a:stretch/>
                  </pic:blipFill>
                  <pic:spPr bwMode="auto">
                    <a:xfrm>
                      <a:off x="0" y="0"/>
                      <a:ext cx="1112118" cy="155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25D5" w:rsidRPr="0076266C" w:rsidSect="004647FC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AA91" w14:textId="77777777" w:rsidR="00676588" w:rsidRDefault="00676588" w:rsidP="00495097">
      <w:pPr>
        <w:spacing w:after="0" w:line="240" w:lineRule="auto"/>
      </w:pPr>
      <w:r>
        <w:separator/>
      </w:r>
    </w:p>
  </w:endnote>
  <w:endnote w:type="continuationSeparator" w:id="0">
    <w:p w14:paraId="22A0E2F4" w14:textId="77777777" w:rsidR="00676588" w:rsidRDefault="00676588" w:rsidP="00495097">
      <w:pPr>
        <w:spacing w:after="0" w:line="240" w:lineRule="auto"/>
      </w:pPr>
      <w:r>
        <w:continuationSeparator/>
      </w:r>
    </w:p>
  </w:endnote>
  <w:endnote w:type="continuationNotice" w:id="1">
    <w:p w14:paraId="61151840" w14:textId="77777777" w:rsidR="00676588" w:rsidRDefault="00676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445" w14:textId="77777777" w:rsidR="00B95469" w:rsidRDefault="00B95469" w:rsidP="00B95469">
    <w:pPr>
      <w:pStyle w:val="Footer"/>
    </w:pPr>
    <w:r>
      <w:t xml:space="preserve">Early Years Service (The Learning Environment) January 2025 </w:t>
    </w:r>
  </w:p>
  <w:p w14:paraId="303516E5" w14:textId="50FF6C7D" w:rsidR="00495097" w:rsidRPr="00B95469" w:rsidRDefault="00B95469" w:rsidP="00B95469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D45C" w14:textId="77777777" w:rsidR="00676588" w:rsidRDefault="00676588" w:rsidP="00495097">
      <w:pPr>
        <w:spacing w:after="0" w:line="240" w:lineRule="auto"/>
      </w:pPr>
      <w:r>
        <w:separator/>
      </w:r>
    </w:p>
  </w:footnote>
  <w:footnote w:type="continuationSeparator" w:id="0">
    <w:p w14:paraId="6742B9D2" w14:textId="77777777" w:rsidR="00676588" w:rsidRDefault="00676588" w:rsidP="00495097">
      <w:pPr>
        <w:spacing w:after="0" w:line="240" w:lineRule="auto"/>
      </w:pPr>
      <w:r>
        <w:continuationSeparator/>
      </w:r>
    </w:p>
  </w:footnote>
  <w:footnote w:type="continuationNotice" w:id="1">
    <w:p w14:paraId="6B7DCC97" w14:textId="77777777" w:rsidR="00676588" w:rsidRDefault="006765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21AE4086" w:rsidR="00F44818" w:rsidRPr="00FA3ED4" w:rsidRDefault="00FA3ED4" w:rsidP="00FA3ED4">
    <w:pPr>
      <w:pStyle w:val="Header"/>
      <w:rPr>
        <w:b/>
        <w:bCs/>
      </w:rPr>
    </w:pPr>
    <w:r w:rsidRPr="00FA3ED4">
      <w:rPr>
        <w:rFonts w:ascii="Mangal Pro" w:hAnsi="Mangal Pro" w:cs="Mangal Pro"/>
        <w:b/>
        <w:bCs/>
      </w:rPr>
      <w:t>P.6</w:t>
    </w:r>
    <w:r w:rsidRPr="00FA3ED4">
      <w:rPr>
        <w:b/>
        <w:bCs/>
      </w:rPr>
      <w:tab/>
    </w:r>
    <w:r w:rsidRPr="00FA3ED4">
      <w:rPr>
        <w:b/>
        <w:bCs/>
      </w:rPr>
      <w:tab/>
    </w:r>
    <w:r w:rsidR="00F44818" w:rsidRPr="00FA3ED4">
      <w:rPr>
        <w:b/>
        <w:bCs/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3D7D"/>
    <w:multiLevelType w:val="hybridMultilevel"/>
    <w:tmpl w:val="5B089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D737F"/>
    <w:multiLevelType w:val="hybridMultilevel"/>
    <w:tmpl w:val="4F3E4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D95E98"/>
    <w:multiLevelType w:val="hybridMultilevel"/>
    <w:tmpl w:val="7564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090089"/>
    <w:multiLevelType w:val="hybridMultilevel"/>
    <w:tmpl w:val="85520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232B55"/>
    <w:multiLevelType w:val="hybridMultilevel"/>
    <w:tmpl w:val="2B7EF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14410A"/>
    <w:multiLevelType w:val="hybridMultilevel"/>
    <w:tmpl w:val="A4725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415FEC"/>
    <w:multiLevelType w:val="hybridMultilevel"/>
    <w:tmpl w:val="6874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4"/>
  </w:num>
  <w:num w:numId="3" w16cid:durableId="814220891">
    <w:abstractNumId w:val="1"/>
  </w:num>
  <w:num w:numId="4" w16cid:durableId="1318388276">
    <w:abstractNumId w:val="7"/>
  </w:num>
  <w:num w:numId="5" w16cid:durableId="771437801">
    <w:abstractNumId w:val="2"/>
  </w:num>
  <w:num w:numId="6" w16cid:durableId="735929899">
    <w:abstractNumId w:val="9"/>
  </w:num>
  <w:num w:numId="7" w16cid:durableId="583103536">
    <w:abstractNumId w:val="5"/>
  </w:num>
  <w:num w:numId="8" w16cid:durableId="1502698487">
    <w:abstractNumId w:val="10"/>
  </w:num>
  <w:num w:numId="9" w16cid:durableId="960109272">
    <w:abstractNumId w:val="13"/>
  </w:num>
  <w:num w:numId="10" w16cid:durableId="606813129">
    <w:abstractNumId w:val="8"/>
  </w:num>
  <w:num w:numId="11" w16cid:durableId="1641809232">
    <w:abstractNumId w:val="12"/>
  </w:num>
  <w:num w:numId="12" w16cid:durableId="1431511608">
    <w:abstractNumId w:val="11"/>
  </w:num>
  <w:num w:numId="13" w16cid:durableId="883712555">
    <w:abstractNumId w:val="6"/>
  </w:num>
  <w:num w:numId="14" w16cid:durableId="59166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074A3"/>
    <w:rsid w:val="00013828"/>
    <w:rsid w:val="00016BAA"/>
    <w:rsid w:val="00054E0C"/>
    <w:rsid w:val="00060289"/>
    <w:rsid w:val="00070528"/>
    <w:rsid w:val="000934EF"/>
    <w:rsid w:val="000960C9"/>
    <w:rsid w:val="000B2E4C"/>
    <w:rsid w:val="000B4133"/>
    <w:rsid w:val="000C3380"/>
    <w:rsid w:val="000D0E3E"/>
    <w:rsid w:val="000E00CE"/>
    <w:rsid w:val="000E312A"/>
    <w:rsid w:val="000F0511"/>
    <w:rsid w:val="00104E71"/>
    <w:rsid w:val="00112DAE"/>
    <w:rsid w:val="00124649"/>
    <w:rsid w:val="00136B0C"/>
    <w:rsid w:val="001463A7"/>
    <w:rsid w:val="00147DB2"/>
    <w:rsid w:val="001513A4"/>
    <w:rsid w:val="00152839"/>
    <w:rsid w:val="00162DFE"/>
    <w:rsid w:val="001B4B85"/>
    <w:rsid w:val="001C2890"/>
    <w:rsid w:val="001C7A0B"/>
    <w:rsid w:val="001E6B42"/>
    <w:rsid w:val="00212BB7"/>
    <w:rsid w:val="002266F2"/>
    <w:rsid w:val="00227835"/>
    <w:rsid w:val="0024583C"/>
    <w:rsid w:val="00250C89"/>
    <w:rsid w:val="0026267C"/>
    <w:rsid w:val="00262A7C"/>
    <w:rsid w:val="002726A9"/>
    <w:rsid w:val="00276BDA"/>
    <w:rsid w:val="00284D23"/>
    <w:rsid w:val="00296D1C"/>
    <w:rsid w:val="002973A3"/>
    <w:rsid w:val="002A3CE5"/>
    <w:rsid w:val="002A61B6"/>
    <w:rsid w:val="002C3F0F"/>
    <w:rsid w:val="0033577E"/>
    <w:rsid w:val="00335D37"/>
    <w:rsid w:val="003467C5"/>
    <w:rsid w:val="0035345F"/>
    <w:rsid w:val="00364C2C"/>
    <w:rsid w:val="00382839"/>
    <w:rsid w:val="003B4168"/>
    <w:rsid w:val="003C1DA4"/>
    <w:rsid w:val="003C73E4"/>
    <w:rsid w:val="003F0AC6"/>
    <w:rsid w:val="0041442C"/>
    <w:rsid w:val="0042128E"/>
    <w:rsid w:val="004314B5"/>
    <w:rsid w:val="0043232E"/>
    <w:rsid w:val="004443AD"/>
    <w:rsid w:val="00452ACF"/>
    <w:rsid w:val="004647FC"/>
    <w:rsid w:val="0047103D"/>
    <w:rsid w:val="00495097"/>
    <w:rsid w:val="004B5303"/>
    <w:rsid w:val="004C2622"/>
    <w:rsid w:val="004D5467"/>
    <w:rsid w:val="00502ACB"/>
    <w:rsid w:val="00504722"/>
    <w:rsid w:val="0054374F"/>
    <w:rsid w:val="005603AA"/>
    <w:rsid w:val="00562FE0"/>
    <w:rsid w:val="005643B7"/>
    <w:rsid w:val="00572B28"/>
    <w:rsid w:val="00573394"/>
    <w:rsid w:val="0058191D"/>
    <w:rsid w:val="005B0C18"/>
    <w:rsid w:val="005B6FF3"/>
    <w:rsid w:val="005B7BFF"/>
    <w:rsid w:val="005C6EB7"/>
    <w:rsid w:val="00622D05"/>
    <w:rsid w:val="006441B9"/>
    <w:rsid w:val="00661D00"/>
    <w:rsid w:val="0066742D"/>
    <w:rsid w:val="00674F9B"/>
    <w:rsid w:val="00676588"/>
    <w:rsid w:val="00686AB0"/>
    <w:rsid w:val="00691F7C"/>
    <w:rsid w:val="006D11AD"/>
    <w:rsid w:val="006D40B8"/>
    <w:rsid w:val="00706C2B"/>
    <w:rsid w:val="0073511C"/>
    <w:rsid w:val="00743550"/>
    <w:rsid w:val="00753EC2"/>
    <w:rsid w:val="0076266C"/>
    <w:rsid w:val="00764420"/>
    <w:rsid w:val="00773DCF"/>
    <w:rsid w:val="007841E9"/>
    <w:rsid w:val="00784BED"/>
    <w:rsid w:val="00786E23"/>
    <w:rsid w:val="007956A1"/>
    <w:rsid w:val="007A48D1"/>
    <w:rsid w:val="007D1E37"/>
    <w:rsid w:val="007F31F5"/>
    <w:rsid w:val="007F36FC"/>
    <w:rsid w:val="007F771C"/>
    <w:rsid w:val="00803D06"/>
    <w:rsid w:val="008148F2"/>
    <w:rsid w:val="00833F80"/>
    <w:rsid w:val="00855FDC"/>
    <w:rsid w:val="008668F3"/>
    <w:rsid w:val="00866CF1"/>
    <w:rsid w:val="008A4256"/>
    <w:rsid w:val="008A60B8"/>
    <w:rsid w:val="008B7EBA"/>
    <w:rsid w:val="008C093C"/>
    <w:rsid w:val="008C1514"/>
    <w:rsid w:val="008D5F88"/>
    <w:rsid w:val="008E1C12"/>
    <w:rsid w:val="008E1F6E"/>
    <w:rsid w:val="008E6137"/>
    <w:rsid w:val="00907898"/>
    <w:rsid w:val="00926508"/>
    <w:rsid w:val="00936AE5"/>
    <w:rsid w:val="00937473"/>
    <w:rsid w:val="00966E79"/>
    <w:rsid w:val="00971BDA"/>
    <w:rsid w:val="0097314D"/>
    <w:rsid w:val="00994A06"/>
    <w:rsid w:val="009A6715"/>
    <w:rsid w:val="00A072A9"/>
    <w:rsid w:val="00A361DF"/>
    <w:rsid w:val="00A378C4"/>
    <w:rsid w:val="00A425D5"/>
    <w:rsid w:val="00A47FEB"/>
    <w:rsid w:val="00A61386"/>
    <w:rsid w:val="00A75C3F"/>
    <w:rsid w:val="00AA1DE0"/>
    <w:rsid w:val="00AE3ABE"/>
    <w:rsid w:val="00B82701"/>
    <w:rsid w:val="00B862C6"/>
    <w:rsid w:val="00B95469"/>
    <w:rsid w:val="00B96B9C"/>
    <w:rsid w:val="00C05139"/>
    <w:rsid w:val="00C22B97"/>
    <w:rsid w:val="00C233B8"/>
    <w:rsid w:val="00C25D10"/>
    <w:rsid w:val="00C372EB"/>
    <w:rsid w:val="00C37314"/>
    <w:rsid w:val="00C45005"/>
    <w:rsid w:val="00C72515"/>
    <w:rsid w:val="00C86226"/>
    <w:rsid w:val="00C928D2"/>
    <w:rsid w:val="00CB7538"/>
    <w:rsid w:val="00CF2D77"/>
    <w:rsid w:val="00CF6389"/>
    <w:rsid w:val="00D148D3"/>
    <w:rsid w:val="00D14E37"/>
    <w:rsid w:val="00D305BA"/>
    <w:rsid w:val="00D429F8"/>
    <w:rsid w:val="00D6526A"/>
    <w:rsid w:val="00D820E1"/>
    <w:rsid w:val="00D87ABF"/>
    <w:rsid w:val="00DB1E39"/>
    <w:rsid w:val="00DC7D32"/>
    <w:rsid w:val="00DD6C2D"/>
    <w:rsid w:val="00DE0AA1"/>
    <w:rsid w:val="00E155B3"/>
    <w:rsid w:val="00E3070E"/>
    <w:rsid w:val="00E3522A"/>
    <w:rsid w:val="00E40DD0"/>
    <w:rsid w:val="00E953EC"/>
    <w:rsid w:val="00EA1CDF"/>
    <w:rsid w:val="00EB16D4"/>
    <w:rsid w:val="00EC5080"/>
    <w:rsid w:val="00EC751F"/>
    <w:rsid w:val="00ED1231"/>
    <w:rsid w:val="00EF640C"/>
    <w:rsid w:val="00EF65EC"/>
    <w:rsid w:val="00F00956"/>
    <w:rsid w:val="00F27066"/>
    <w:rsid w:val="00F44818"/>
    <w:rsid w:val="00F476FC"/>
    <w:rsid w:val="00F83A9E"/>
    <w:rsid w:val="00F93464"/>
    <w:rsid w:val="00F9647A"/>
    <w:rsid w:val="00FA26AD"/>
    <w:rsid w:val="00FA3ED4"/>
    <w:rsid w:val="00FF5E3A"/>
    <w:rsid w:val="012A0C72"/>
    <w:rsid w:val="10956DED"/>
    <w:rsid w:val="10B4D24E"/>
    <w:rsid w:val="16C6308E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0D1BF95"/>
    <w:rsid w:val="525991CB"/>
    <w:rsid w:val="527D1B30"/>
    <w:rsid w:val="543A9FA9"/>
    <w:rsid w:val="5E4262F7"/>
    <w:rsid w:val="5EAF920B"/>
    <w:rsid w:val="5FDE3358"/>
    <w:rsid w:val="60F60EF9"/>
    <w:rsid w:val="755AA1BA"/>
    <w:rsid w:val="7C7ED373"/>
    <w:rsid w:val="7D300F41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0C680678-1B29-46E5-92D5-527154F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3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C3731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A42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dna.org.uk/wp-content/uploads/2024/02/Continuous-Provision.pdf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arlyexcellence.com/practice-and-pedagogy/using-continuous-provision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7C143-F174-499B-9817-A749F7CDB715}"/>
</file>

<file path=customXml/itemProps2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8212C-43EB-4BF2-9010-B1ECF092FBE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1b1510d7-ad43-49b0-969d-ae5184f54a49"/>
    <ds:schemaRef ds:uri="c90c2d67-7679-46c9-b24b-24bd8dbf0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98</cp:revision>
  <cp:lastPrinted>2025-03-25T12:39:00Z</cp:lastPrinted>
  <dcterms:created xsi:type="dcterms:W3CDTF">2024-06-18T03:01:00Z</dcterms:created>
  <dcterms:modified xsi:type="dcterms:W3CDTF">2025-03-27T10:16:00Z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