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9B81" w14:textId="61597EEB" w:rsidR="002830AB" w:rsidRDefault="002830AB" w:rsidP="00634F5F">
      <w:pPr>
        <w:jc w:val="center"/>
        <w:rPr>
          <w:b/>
        </w:rPr>
      </w:pPr>
      <w:r>
        <w:rPr>
          <w:noProof/>
        </w:rPr>
        <w:drawing>
          <wp:inline distT="0" distB="0" distL="0" distR="0" wp14:anchorId="4B233829" wp14:editId="59CB5849">
            <wp:extent cx="2217420" cy="110871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7420" cy="1108710"/>
                    </a:xfrm>
                    <a:prstGeom prst="rect">
                      <a:avLst/>
                    </a:prstGeom>
                    <a:noFill/>
                    <a:ln>
                      <a:noFill/>
                    </a:ln>
                  </pic:spPr>
                </pic:pic>
              </a:graphicData>
            </a:graphic>
          </wp:inline>
        </w:drawing>
      </w:r>
    </w:p>
    <w:p w14:paraId="26D55DDA" w14:textId="77777777" w:rsidR="002830AB" w:rsidRPr="002830AB" w:rsidRDefault="002830AB" w:rsidP="00634F5F">
      <w:pPr>
        <w:jc w:val="center"/>
        <w:rPr>
          <w:bCs/>
        </w:rPr>
      </w:pPr>
    </w:p>
    <w:p w14:paraId="3A2E60B1" w14:textId="1C2E769A" w:rsidR="00634F5F" w:rsidRPr="006C7805" w:rsidRDefault="00634F5F" w:rsidP="00634F5F">
      <w:pPr>
        <w:jc w:val="center"/>
        <w:rPr>
          <w:b/>
        </w:rPr>
      </w:pPr>
      <w:r w:rsidRPr="006C7805">
        <w:rPr>
          <w:b/>
        </w:rPr>
        <w:t>COMMON FINDINGS FROM</w:t>
      </w:r>
    </w:p>
    <w:p w14:paraId="204037C0" w14:textId="7EA2431D" w:rsidR="00634F5F" w:rsidRDefault="00634F5F" w:rsidP="00634F5F">
      <w:pPr>
        <w:jc w:val="center"/>
        <w:rPr>
          <w:b/>
        </w:rPr>
      </w:pPr>
      <w:r w:rsidRPr="006C7805">
        <w:rPr>
          <w:b/>
        </w:rPr>
        <w:t>INTERNAL AUDIT OF SCHOOLS DURING 20</w:t>
      </w:r>
      <w:r>
        <w:rPr>
          <w:b/>
        </w:rPr>
        <w:t>2</w:t>
      </w:r>
      <w:r w:rsidR="00C50829">
        <w:rPr>
          <w:b/>
        </w:rPr>
        <w:t>4</w:t>
      </w:r>
      <w:r w:rsidR="00542654">
        <w:rPr>
          <w:b/>
        </w:rPr>
        <w:t>-</w:t>
      </w:r>
      <w:r w:rsidR="00196E7E">
        <w:rPr>
          <w:b/>
        </w:rPr>
        <w:t>2</w:t>
      </w:r>
      <w:r w:rsidR="00C50829">
        <w:rPr>
          <w:b/>
        </w:rPr>
        <w:t>5</w:t>
      </w:r>
    </w:p>
    <w:p w14:paraId="5AA7853C" w14:textId="77777777" w:rsidR="00634F5F" w:rsidRDefault="00634F5F" w:rsidP="00634F5F">
      <w:pPr>
        <w:rPr>
          <w:b/>
        </w:rPr>
      </w:pPr>
    </w:p>
    <w:p w14:paraId="67AF2962" w14:textId="55896600" w:rsidR="00634F5F" w:rsidRPr="00E7575E" w:rsidRDefault="00E1153F" w:rsidP="00634F5F">
      <w:pPr>
        <w:spacing w:before="120" w:after="120"/>
        <w:rPr>
          <w:rFonts w:cs="Arial"/>
        </w:rPr>
      </w:pPr>
      <w:r>
        <w:rPr>
          <w:rFonts w:cs="Arial"/>
        </w:rPr>
        <w:t xml:space="preserve">Gloucestershire County </w:t>
      </w:r>
      <w:r w:rsidR="00634F5F" w:rsidRPr="00E7575E">
        <w:rPr>
          <w:rFonts w:cs="Arial"/>
        </w:rPr>
        <w:t>Council’s</w:t>
      </w:r>
      <w:r>
        <w:rPr>
          <w:rFonts w:cs="Arial"/>
        </w:rPr>
        <w:t xml:space="preserve"> (GCC)</w:t>
      </w:r>
      <w:r w:rsidR="00634F5F" w:rsidRPr="00E7575E">
        <w:rPr>
          <w:rFonts w:cs="Arial"/>
        </w:rPr>
        <w:t xml:space="preserve"> Chief Financial Officer (S151 Officer) is required to submit an annual return to the Department for Education</w:t>
      </w:r>
      <w:r w:rsidR="0042773D">
        <w:rPr>
          <w:rFonts w:cs="Arial"/>
        </w:rPr>
        <w:t>. The return</w:t>
      </w:r>
      <w:r w:rsidR="00634F5F" w:rsidRPr="00E7575E">
        <w:rPr>
          <w:rFonts w:cs="Arial"/>
        </w:rPr>
        <w:t xml:space="preserve"> confirm</w:t>
      </w:r>
      <w:r w:rsidR="0042773D">
        <w:rPr>
          <w:rFonts w:cs="Arial"/>
        </w:rPr>
        <w:t>s</w:t>
      </w:r>
      <w:r w:rsidR="00634F5F" w:rsidRPr="00E7575E">
        <w:rPr>
          <w:rFonts w:cs="Arial"/>
        </w:rPr>
        <w:t xml:space="preserve"> that there is a system of audit in place for Local Authority maintained schools which gives adequate assurance over their standards of financial management and the regularity and propriety of their spending.  Internal Audit provides independent assurance as to the effectiveness of these financial management arrangements within the schools audited.</w:t>
      </w:r>
    </w:p>
    <w:p w14:paraId="45D38598" w14:textId="27F00F61" w:rsidR="006F4C5E" w:rsidRPr="00E7575E" w:rsidRDefault="00634F5F" w:rsidP="00634F5F">
      <w:pPr>
        <w:spacing w:before="120" w:after="120"/>
        <w:rPr>
          <w:rFonts w:cs="Arial"/>
        </w:rPr>
      </w:pPr>
      <w:r w:rsidRPr="00E7575E">
        <w:rPr>
          <w:rFonts w:cs="Arial"/>
        </w:rPr>
        <w:t xml:space="preserve">Internal Audit’s activity within schools is prioritised based on risk and as such, </w:t>
      </w:r>
      <w:r w:rsidR="00095B8B">
        <w:rPr>
          <w:rFonts w:cs="Arial"/>
        </w:rPr>
        <w:t>12</w:t>
      </w:r>
      <w:r w:rsidRPr="002B7213">
        <w:rPr>
          <w:rFonts w:cs="Arial"/>
        </w:rPr>
        <w:t xml:space="preserve"> </w:t>
      </w:r>
      <w:r w:rsidR="00A139C4" w:rsidRPr="002B7213">
        <w:rPr>
          <w:rFonts w:cs="Arial"/>
        </w:rPr>
        <w:t>P</w:t>
      </w:r>
      <w:r w:rsidRPr="002B7213">
        <w:rPr>
          <w:rFonts w:cs="Arial"/>
        </w:rPr>
        <w:t>rimary schools</w:t>
      </w:r>
      <w:r w:rsidR="00960FD0">
        <w:rPr>
          <w:rFonts w:cs="Arial"/>
        </w:rPr>
        <w:t xml:space="preserve"> (three were one federation)</w:t>
      </w:r>
      <w:r w:rsidR="00FF3E3C">
        <w:rPr>
          <w:rFonts w:cs="Arial"/>
        </w:rPr>
        <w:t>,</w:t>
      </w:r>
      <w:r w:rsidR="00796FF1" w:rsidRPr="002B7213">
        <w:rPr>
          <w:rFonts w:cs="Arial"/>
        </w:rPr>
        <w:t xml:space="preserve"> one</w:t>
      </w:r>
      <w:r w:rsidR="00A139C4" w:rsidRPr="002B7213">
        <w:rPr>
          <w:rFonts w:cs="Arial"/>
        </w:rPr>
        <w:t xml:space="preserve"> Special school</w:t>
      </w:r>
      <w:r w:rsidR="004C5672">
        <w:rPr>
          <w:rFonts w:cs="Arial"/>
        </w:rPr>
        <w:t>, one Secondary school and one Alternative Provision school</w:t>
      </w:r>
      <w:r w:rsidRPr="002B7213">
        <w:rPr>
          <w:rFonts w:cs="Arial"/>
        </w:rPr>
        <w:t xml:space="preserve"> were </w:t>
      </w:r>
      <w:r w:rsidR="00796FF1" w:rsidRPr="002B7213">
        <w:rPr>
          <w:rFonts w:cs="Arial"/>
        </w:rPr>
        <w:t>audited</w:t>
      </w:r>
      <w:r w:rsidRPr="002B7213">
        <w:rPr>
          <w:rFonts w:cs="Arial"/>
        </w:rPr>
        <w:t xml:space="preserve"> during 202</w:t>
      </w:r>
      <w:r w:rsidR="004C5672">
        <w:rPr>
          <w:rFonts w:cs="Arial"/>
        </w:rPr>
        <w:t>4</w:t>
      </w:r>
      <w:r w:rsidR="00542654">
        <w:rPr>
          <w:rFonts w:cs="Arial"/>
        </w:rPr>
        <w:t>-</w:t>
      </w:r>
      <w:r w:rsidR="006B615C">
        <w:rPr>
          <w:rFonts w:cs="Arial"/>
        </w:rPr>
        <w:t>2</w:t>
      </w:r>
      <w:r w:rsidR="004C5672">
        <w:rPr>
          <w:rFonts w:cs="Arial"/>
        </w:rPr>
        <w:t>5</w:t>
      </w:r>
      <w:r w:rsidR="00796FF1" w:rsidRPr="00796FF1">
        <w:rPr>
          <w:rFonts w:cs="Arial"/>
        </w:rPr>
        <w:t xml:space="preserve">.  </w:t>
      </w:r>
      <w:r w:rsidR="00322DD1">
        <w:rPr>
          <w:rFonts w:cs="Arial"/>
        </w:rPr>
        <w:t>The</w:t>
      </w:r>
      <w:r w:rsidR="003449AB" w:rsidRPr="00E7575E">
        <w:rPr>
          <w:rFonts w:cs="Arial"/>
        </w:rPr>
        <w:t xml:space="preserve"> audits were themed to focus on the key risk areas of Governance and Budgetary Control, Purchasing, </w:t>
      </w:r>
      <w:r w:rsidR="00334FA8">
        <w:rPr>
          <w:rFonts w:cs="Arial"/>
        </w:rPr>
        <w:t>Staffing,</w:t>
      </w:r>
      <w:r w:rsidR="00A23F0A">
        <w:rPr>
          <w:rFonts w:cs="Arial"/>
        </w:rPr>
        <w:t xml:space="preserve"> </w:t>
      </w:r>
      <w:r w:rsidR="003449AB" w:rsidRPr="00E7575E">
        <w:rPr>
          <w:rFonts w:cs="Arial"/>
        </w:rPr>
        <w:t xml:space="preserve">and </w:t>
      </w:r>
      <w:r w:rsidR="00D008E2">
        <w:rPr>
          <w:rFonts w:cs="Arial"/>
        </w:rPr>
        <w:t xml:space="preserve">the </w:t>
      </w:r>
      <w:r w:rsidR="00DB53E7">
        <w:rPr>
          <w:rFonts w:cs="Arial"/>
        </w:rPr>
        <w:t>Special Educational Needs (</w:t>
      </w:r>
      <w:r w:rsidR="00D008E2">
        <w:rPr>
          <w:rFonts w:cs="Arial"/>
        </w:rPr>
        <w:t>SEN</w:t>
      </w:r>
      <w:r w:rsidR="00DB53E7">
        <w:rPr>
          <w:rFonts w:cs="Arial"/>
        </w:rPr>
        <w:t>)</w:t>
      </w:r>
      <w:r w:rsidR="00D008E2">
        <w:rPr>
          <w:rFonts w:cs="Arial"/>
        </w:rPr>
        <w:t xml:space="preserve"> Notional Budget</w:t>
      </w:r>
      <w:r w:rsidR="003449AB" w:rsidRPr="00E7575E">
        <w:rPr>
          <w:rFonts w:cs="Arial"/>
        </w:rPr>
        <w:t>.</w:t>
      </w:r>
      <w:r w:rsidR="00322DD1">
        <w:rPr>
          <w:rFonts w:cs="Arial"/>
        </w:rPr>
        <w:t xml:space="preserve"> </w:t>
      </w:r>
      <w:r w:rsidR="003449AB" w:rsidRPr="00E7575E">
        <w:rPr>
          <w:rFonts w:cs="Arial"/>
        </w:rPr>
        <w:t xml:space="preserve"> </w:t>
      </w:r>
      <w:r w:rsidRPr="00E7575E">
        <w:rPr>
          <w:rFonts w:cs="Arial"/>
        </w:rPr>
        <w:t>Individual reports were issued to each school, where a number of High</w:t>
      </w:r>
      <w:r w:rsidR="007E527E">
        <w:rPr>
          <w:rFonts w:cs="Arial"/>
        </w:rPr>
        <w:t>,</w:t>
      </w:r>
      <w:r w:rsidRPr="00E7575E">
        <w:rPr>
          <w:rFonts w:cs="Arial"/>
        </w:rPr>
        <w:t xml:space="preserve"> Medium </w:t>
      </w:r>
      <w:r w:rsidR="007E527E">
        <w:rPr>
          <w:rFonts w:cs="Arial"/>
        </w:rPr>
        <w:t xml:space="preserve">and Low </w:t>
      </w:r>
      <w:r w:rsidR="00823154">
        <w:rPr>
          <w:rFonts w:cs="Arial"/>
        </w:rPr>
        <w:t xml:space="preserve">Priority </w:t>
      </w:r>
      <w:r w:rsidRPr="00E7575E">
        <w:rPr>
          <w:rFonts w:cs="Arial"/>
        </w:rPr>
        <w:t xml:space="preserve">recommendations were made.  As these </w:t>
      </w:r>
      <w:r w:rsidR="00405BC3">
        <w:rPr>
          <w:rFonts w:cs="Arial"/>
        </w:rPr>
        <w:t>findings</w:t>
      </w:r>
      <w:r w:rsidRPr="00E7575E">
        <w:rPr>
          <w:rFonts w:cs="Arial"/>
        </w:rPr>
        <w:t xml:space="preserve"> could apply to other schools, the information is being shared with all schools.</w:t>
      </w:r>
    </w:p>
    <w:p w14:paraId="5EB8EEC2" w14:textId="77777777" w:rsidR="003B3CD7" w:rsidRPr="00E7575E" w:rsidRDefault="003B3CD7" w:rsidP="003B3CD7">
      <w:pPr>
        <w:spacing w:before="120" w:after="120"/>
        <w:rPr>
          <w:rFonts w:cs="Arial"/>
        </w:rPr>
      </w:pPr>
      <w:r w:rsidRPr="00E7575E">
        <w:rPr>
          <w:rFonts w:cs="Arial"/>
        </w:rPr>
        <w:t xml:space="preserve">Listed below are </w:t>
      </w:r>
      <w:r w:rsidR="00B513A7">
        <w:rPr>
          <w:rFonts w:cs="Arial"/>
        </w:rPr>
        <w:t xml:space="preserve">the </w:t>
      </w:r>
      <w:r w:rsidRPr="00E7575E">
        <w:rPr>
          <w:rFonts w:cs="Arial"/>
        </w:rPr>
        <w:t>common findings that were identified through audit testing which required improvements to be made</w:t>
      </w:r>
      <w:r w:rsidR="00322DD1">
        <w:rPr>
          <w:rFonts w:cs="Arial"/>
        </w:rPr>
        <w:t>,</w:t>
      </w:r>
      <w:r w:rsidRPr="00E7575E">
        <w:rPr>
          <w:rFonts w:cs="Arial"/>
        </w:rPr>
        <w:t xml:space="preserve"> alongside the risks associated with that particular finding.</w:t>
      </w:r>
    </w:p>
    <w:p w14:paraId="77AC80CF" w14:textId="6906DEE7" w:rsidR="00634F5F" w:rsidRDefault="00634F5F" w:rsidP="00634F5F">
      <w:pPr>
        <w:rPr>
          <w:rFonts w:cs="Arial"/>
          <w:bCs/>
        </w:rPr>
      </w:pPr>
    </w:p>
    <w:p w14:paraId="4114E2C8" w14:textId="77777777" w:rsidR="00542654" w:rsidRDefault="00542654" w:rsidP="00634F5F">
      <w:pPr>
        <w:rPr>
          <w:rFonts w:cs="Arial"/>
          <w:bCs/>
        </w:rPr>
      </w:pPr>
    </w:p>
    <w:p w14:paraId="78054B33" w14:textId="77777777" w:rsidR="00542654" w:rsidRDefault="00542654" w:rsidP="00634F5F">
      <w:pPr>
        <w:rPr>
          <w:rFonts w:cs="Arial"/>
          <w:bCs/>
        </w:rPr>
      </w:pPr>
    </w:p>
    <w:p w14:paraId="158E44A7" w14:textId="0DEC8766" w:rsidR="002830AB" w:rsidRDefault="002830AB" w:rsidP="00634F5F">
      <w:pPr>
        <w:rPr>
          <w:rFonts w:cs="Arial"/>
          <w:bCs/>
        </w:rPr>
      </w:pPr>
    </w:p>
    <w:p w14:paraId="5F4CBACF" w14:textId="77777777" w:rsidR="00542654" w:rsidRPr="002830AB" w:rsidRDefault="00542654" w:rsidP="00634F5F">
      <w:pPr>
        <w:rPr>
          <w:rFonts w:cs="Arial"/>
          <w:bCs/>
        </w:rPr>
      </w:pPr>
    </w:p>
    <w:p w14:paraId="46130788" w14:textId="6314BE14" w:rsidR="002830AB" w:rsidRPr="002830AB" w:rsidRDefault="002830AB" w:rsidP="00634F5F">
      <w:pPr>
        <w:rPr>
          <w:rFonts w:cs="Arial"/>
          <w:bCs/>
        </w:rPr>
      </w:pPr>
    </w:p>
    <w:p w14:paraId="2DCCDEA8" w14:textId="288368EF" w:rsidR="002830AB" w:rsidRPr="002830AB" w:rsidRDefault="00B80E5E">
      <w:pPr>
        <w:spacing w:after="200" w:line="276" w:lineRule="auto"/>
        <w:rPr>
          <w:rFonts w:cs="Arial"/>
          <w:bCs/>
        </w:rPr>
      </w:pPr>
      <w:r>
        <w:rPr>
          <w:rFonts w:cs="Arial"/>
          <w:bCs/>
        </w:rPr>
        <w:br w:type="page"/>
      </w:r>
    </w:p>
    <w:p w14:paraId="545D66E6" w14:textId="77777777" w:rsidR="002830AB" w:rsidRPr="00B80E5E" w:rsidRDefault="002830AB" w:rsidP="00634F5F">
      <w:pPr>
        <w:rPr>
          <w:rFonts w:cs="Arial"/>
          <w:bCs/>
          <w:sz w:val="4"/>
          <w:szCs w:val="4"/>
        </w:rPr>
      </w:pPr>
    </w:p>
    <w:tbl>
      <w:tblPr>
        <w:tblStyle w:val="TableGrid"/>
        <w:tblW w:w="14630" w:type="dxa"/>
        <w:tblInd w:w="-176" w:type="dxa"/>
        <w:tblLook w:val="04A0" w:firstRow="1" w:lastRow="0" w:firstColumn="1" w:lastColumn="0" w:noHBand="0" w:noVBand="1"/>
      </w:tblPr>
      <w:tblGrid>
        <w:gridCol w:w="7279"/>
        <w:gridCol w:w="7351"/>
      </w:tblGrid>
      <w:tr w:rsidR="00F06C14" w:rsidRPr="00E7575E" w14:paraId="6C73D194" w14:textId="77777777" w:rsidTr="00A85AD7">
        <w:trPr>
          <w:cantSplit/>
          <w:trHeight w:val="493"/>
          <w:tblHeader/>
        </w:trPr>
        <w:tc>
          <w:tcPr>
            <w:tcW w:w="7279" w:type="dxa"/>
          </w:tcPr>
          <w:p w14:paraId="63171702" w14:textId="77777777" w:rsidR="00AF253E" w:rsidRDefault="00AF253E" w:rsidP="00802D0E">
            <w:pPr>
              <w:jc w:val="center"/>
              <w:rPr>
                <w:rFonts w:cs="Arial"/>
                <w:b/>
                <w:sz w:val="28"/>
                <w:szCs w:val="28"/>
              </w:rPr>
            </w:pPr>
            <w:r w:rsidRPr="00A4128D">
              <w:rPr>
                <w:rFonts w:cs="Arial"/>
                <w:b/>
                <w:sz w:val="28"/>
                <w:szCs w:val="28"/>
              </w:rPr>
              <w:t>Findings from audit testing</w:t>
            </w:r>
          </w:p>
          <w:p w14:paraId="2FD67A77" w14:textId="07DA828B" w:rsidR="00A4128D" w:rsidRPr="00A4128D" w:rsidRDefault="00A4128D" w:rsidP="00802D0E">
            <w:pPr>
              <w:jc w:val="center"/>
              <w:rPr>
                <w:rFonts w:cs="Arial"/>
                <w:b/>
                <w:sz w:val="22"/>
                <w:szCs w:val="22"/>
              </w:rPr>
            </w:pPr>
          </w:p>
        </w:tc>
        <w:tc>
          <w:tcPr>
            <w:tcW w:w="7351" w:type="dxa"/>
          </w:tcPr>
          <w:p w14:paraId="740E1E11" w14:textId="77777777" w:rsidR="00AF253E" w:rsidRDefault="00AF253E" w:rsidP="00802D0E">
            <w:pPr>
              <w:jc w:val="center"/>
              <w:rPr>
                <w:rFonts w:cs="Arial"/>
                <w:b/>
                <w:sz w:val="28"/>
                <w:szCs w:val="28"/>
              </w:rPr>
            </w:pPr>
            <w:r w:rsidRPr="00A4128D">
              <w:rPr>
                <w:rFonts w:cs="Arial"/>
                <w:b/>
                <w:sz w:val="28"/>
                <w:szCs w:val="28"/>
              </w:rPr>
              <w:t>Risks associated with finding</w:t>
            </w:r>
          </w:p>
          <w:p w14:paraId="5224E50C" w14:textId="5CA45CF2" w:rsidR="00A4128D" w:rsidRPr="00A4128D" w:rsidRDefault="00A4128D" w:rsidP="00802D0E">
            <w:pPr>
              <w:jc w:val="center"/>
              <w:rPr>
                <w:rFonts w:cs="Arial"/>
                <w:b/>
                <w:sz w:val="22"/>
                <w:szCs w:val="22"/>
              </w:rPr>
            </w:pPr>
          </w:p>
        </w:tc>
      </w:tr>
      <w:tr w:rsidR="00F06C14" w:rsidRPr="00E7575E" w14:paraId="0B83D58E" w14:textId="77777777" w:rsidTr="00A85AD7">
        <w:trPr>
          <w:trHeight w:val="272"/>
        </w:trPr>
        <w:tc>
          <w:tcPr>
            <w:tcW w:w="7279" w:type="dxa"/>
          </w:tcPr>
          <w:p w14:paraId="323BFAE6" w14:textId="34F91B05" w:rsidR="00AF253E" w:rsidRPr="00050D7D" w:rsidRDefault="00AF253E" w:rsidP="00EC2793">
            <w:pPr>
              <w:jc w:val="center"/>
              <w:rPr>
                <w:rFonts w:cs="Arial"/>
                <w:b/>
                <w:sz w:val="28"/>
                <w:szCs w:val="28"/>
              </w:rPr>
            </w:pPr>
            <w:r w:rsidRPr="00050D7D">
              <w:rPr>
                <w:rFonts w:cs="Arial"/>
                <w:b/>
                <w:sz w:val="28"/>
                <w:szCs w:val="28"/>
              </w:rPr>
              <w:t>Governance and Budgetary Control</w:t>
            </w:r>
          </w:p>
          <w:p w14:paraId="42152531" w14:textId="77777777" w:rsidR="00322DD1" w:rsidRPr="00AC6364" w:rsidRDefault="00322DD1" w:rsidP="00EC2793">
            <w:pPr>
              <w:jc w:val="center"/>
              <w:rPr>
                <w:rFonts w:cs="Arial"/>
                <w:b/>
                <w:sz w:val="22"/>
                <w:szCs w:val="22"/>
              </w:rPr>
            </w:pPr>
          </w:p>
        </w:tc>
        <w:tc>
          <w:tcPr>
            <w:tcW w:w="7351" w:type="dxa"/>
          </w:tcPr>
          <w:p w14:paraId="4040A842" w14:textId="6E5A8893" w:rsidR="00AF253E" w:rsidRPr="00AC6364" w:rsidRDefault="00AF253E">
            <w:pPr>
              <w:rPr>
                <w:rFonts w:cs="Arial"/>
                <w:sz w:val="22"/>
                <w:szCs w:val="22"/>
              </w:rPr>
            </w:pPr>
          </w:p>
        </w:tc>
      </w:tr>
      <w:tr w:rsidR="00F06C14" w:rsidRPr="002B7213" w14:paraId="47B82A9D" w14:textId="77777777" w:rsidTr="00A85AD7">
        <w:trPr>
          <w:trHeight w:val="557"/>
        </w:trPr>
        <w:tc>
          <w:tcPr>
            <w:tcW w:w="7279" w:type="dxa"/>
            <w:shd w:val="clear" w:color="auto" w:fill="auto"/>
          </w:tcPr>
          <w:p w14:paraId="4E6EF3D0" w14:textId="14C61307" w:rsidR="007606F6" w:rsidRPr="00701E88" w:rsidRDefault="00EB4519" w:rsidP="0014637D">
            <w:pPr>
              <w:rPr>
                <w:rFonts w:cs="Arial"/>
              </w:rPr>
            </w:pPr>
            <w:r w:rsidRPr="00065157">
              <w:rPr>
                <w:rFonts w:cs="Arial"/>
              </w:rPr>
              <w:t xml:space="preserve">The </w:t>
            </w:r>
            <w:r w:rsidR="00D72BA0">
              <w:rPr>
                <w:rFonts w:cs="Arial"/>
              </w:rPr>
              <w:t>Schools Financial Value Standard (</w:t>
            </w:r>
            <w:r w:rsidRPr="00701E88">
              <w:rPr>
                <w:rFonts w:cs="Arial"/>
              </w:rPr>
              <w:t>SFVS</w:t>
            </w:r>
            <w:r w:rsidR="00D72BA0">
              <w:rPr>
                <w:rFonts w:cs="Arial"/>
              </w:rPr>
              <w:t>)</w:t>
            </w:r>
            <w:r w:rsidR="00AA6D15" w:rsidRPr="00701E88">
              <w:rPr>
                <w:rFonts w:cs="Arial"/>
              </w:rPr>
              <w:t xml:space="preserve"> </w:t>
            </w:r>
            <w:r w:rsidR="00D257F0" w:rsidRPr="00701E88">
              <w:rPr>
                <w:rFonts w:cs="Arial"/>
              </w:rPr>
              <w:t>was</w:t>
            </w:r>
            <w:r w:rsidR="00D26F40" w:rsidRPr="00701E88">
              <w:rPr>
                <w:rFonts w:cs="Arial"/>
              </w:rPr>
              <w:t xml:space="preserve"> discussed by Governors</w:t>
            </w:r>
            <w:r w:rsidR="007606F6" w:rsidRPr="00701E88">
              <w:rPr>
                <w:rFonts w:cs="Arial"/>
              </w:rPr>
              <w:t>,</w:t>
            </w:r>
            <w:r w:rsidR="00D26F40" w:rsidRPr="00701E88">
              <w:rPr>
                <w:rFonts w:cs="Arial"/>
              </w:rPr>
              <w:t xml:space="preserve"> but formal approval was not recorded in the meeting minutes.</w:t>
            </w:r>
          </w:p>
          <w:p w14:paraId="5097E35A" w14:textId="77777777" w:rsidR="007606F6" w:rsidRPr="00701E88" w:rsidRDefault="007606F6" w:rsidP="0014637D">
            <w:pPr>
              <w:rPr>
                <w:rFonts w:cs="Arial"/>
              </w:rPr>
            </w:pPr>
          </w:p>
          <w:p w14:paraId="63B5E89E" w14:textId="26D289F7" w:rsidR="00E432D9" w:rsidRPr="00701E88" w:rsidRDefault="007606F6" w:rsidP="0014637D">
            <w:pPr>
              <w:rPr>
                <w:rFonts w:cs="Arial"/>
              </w:rPr>
            </w:pPr>
            <w:r w:rsidRPr="00701E88">
              <w:rPr>
                <w:rFonts w:cs="Arial"/>
              </w:rPr>
              <w:t>The SFVS was</w:t>
            </w:r>
            <w:r w:rsidR="00D257F0" w:rsidRPr="00701E88">
              <w:rPr>
                <w:rFonts w:cs="Arial"/>
              </w:rPr>
              <w:t xml:space="preserve"> not submitted to GCC by the deadline</w:t>
            </w:r>
            <w:r w:rsidR="00E432D9" w:rsidRPr="00701E88">
              <w:rPr>
                <w:rFonts w:cs="Arial"/>
              </w:rPr>
              <w:t>.</w:t>
            </w:r>
          </w:p>
          <w:p w14:paraId="59BF09D2" w14:textId="5CF11006" w:rsidR="001F231B" w:rsidRPr="00701E88" w:rsidRDefault="001F231B" w:rsidP="00752C5E">
            <w:pPr>
              <w:rPr>
                <w:rFonts w:cs="Arial"/>
              </w:rPr>
            </w:pPr>
          </w:p>
        </w:tc>
        <w:tc>
          <w:tcPr>
            <w:tcW w:w="7351" w:type="dxa"/>
            <w:shd w:val="clear" w:color="auto" w:fill="auto"/>
          </w:tcPr>
          <w:p w14:paraId="04976836" w14:textId="0FD43595" w:rsidR="000949B8" w:rsidRPr="00701E88" w:rsidRDefault="000949B8" w:rsidP="00701E88">
            <w:pPr>
              <w:pStyle w:val="Default"/>
            </w:pPr>
            <w:r w:rsidRPr="00701E88">
              <w:t>Lack of oversight</w:t>
            </w:r>
            <w:r w:rsidR="005A0D81" w:rsidRPr="00701E88">
              <w:t>, accountability and transparency</w:t>
            </w:r>
            <w:r w:rsidR="00DB213D" w:rsidRPr="00701E88">
              <w:t xml:space="preserve"> by Governors</w:t>
            </w:r>
            <w:r w:rsidRPr="00701E88">
              <w:t>.</w:t>
            </w:r>
          </w:p>
          <w:p w14:paraId="7B30FDB2" w14:textId="77777777" w:rsidR="002437F5" w:rsidRPr="00701E88" w:rsidRDefault="002437F5" w:rsidP="00701E88">
            <w:pPr>
              <w:pStyle w:val="Default"/>
            </w:pPr>
          </w:p>
          <w:p w14:paraId="10E8A2BF" w14:textId="6BB34A85" w:rsidR="00B44497" w:rsidRPr="00701E88" w:rsidRDefault="002437F5" w:rsidP="00701E88">
            <w:pPr>
              <w:pStyle w:val="Default"/>
            </w:pPr>
            <w:r w:rsidRPr="00701E88">
              <w:t xml:space="preserve">Non-compliance with </w:t>
            </w:r>
            <w:r w:rsidR="00354505">
              <w:t xml:space="preserve">statutory and </w:t>
            </w:r>
            <w:r w:rsidRPr="00701E88">
              <w:t>GCC requirements.</w:t>
            </w:r>
          </w:p>
        </w:tc>
      </w:tr>
      <w:tr w:rsidR="00F06C14" w:rsidRPr="002B7213" w14:paraId="0FD791D7" w14:textId="77777777" w:rsidTr="00A85AD7">
        <w:trPr>
          <w:trHeight w:val="557"/>
        </w:trPr>
        <w:tc>
          <w:tcPr>
            <w:tcW w:w="7279" w:type="dxa"/>
            <w:shd w:val="clear" w:color="auto" w:fill="auto"/>
          </w:tcPr>
          <w:p w14:paraId="3CCDB1B5" w14:textId="4DEE91A5" w:rsidR="00752C5E" w:rsidRPr="00D60AF5" w:rsidRDefault="00752C5E" w:rsidP="00211D60">
            <w:pPr>
              <w:rPr>
                <w:rFonts w:cs="Arial"/>
              </w:rPr>
            </w:pPr>
            <w:r w:rsidRPr="00D60AF5">
              <w:rPr>
                <w:rFonts w:cs="Arial"/>
              </w:rPr>
              <w:t>The Governors’ budget plan submitted to GCC did not include the signed Governors’ approval slip.</w:t>
            </w:r>
          </w:p>
        </w:tc>
        <w:tc>
          <w:tcPr>
            <w:tcW w:w="7351" w:type="dxa"/>
            <w:shd w:val="clear" w:color="auto" w:fill="auto"/>
          </w:tcPr>
          <w:p w14:paraId="14805837" w14:textId="17328FF2" w:rsidR="001903B2" w:rsidRPr="00D60AF5" w:rsidRDefault="00822837" w:rsidP="00D60AF5">
            <w:pPr>
              <w:pStyle w:val="Default"/>
            </w:pPr>
            <w:r w:rsidRPr="00D60AF5">
              <w:t>There is no evidence to support decisions made</w:t>
            </w:r>
            <w:r w:rsidR="001903B2" w:rsidRPr="00D60AF5">
              <w:t>.</w:t>
            </w:r>
          </w:p>
          <w:p w14:paraId="1AC4F359" w14:textId="77777777" w:rsidR="001903B2" w:rsidRPr="00D60AF5" w:rsidRDefault="001903B2" w:rsidP="00D60AF5">
            <w:pPr>
              <w:pStyle w:val="Default"/>
            </w:pPr>
          </w:p>
          <w:p w14:paraId="4338F910" w14:textId="77777777" w:rsidR="00752C5E" w:rsidRPr="00D60AF5" w:rsidRDefault="001903B2" w:rsidP="00D60AF5">
            <w:pPr>
              <w:pStyle w:val="Default"/>
            </w:pPr>
            <w:r w:rsidRPr="00D60AF5">
              <w:t>Non-compliance with GCC requirements.</w:t>
            </w:r>
          </w:p>
          <w:p w14:paraId="3A2746E5" w14:textId="011406EE" w:rsidR="001903B2" w:rsidRPr="00D60AF5" w:rsidRDefault="001903B2" w:rsidP="00D60AF5">
            <w:pPr>
              <w:pStyle w:val="Default"/>
            </w:pPr>
          </w:p>
        </w:tc>
      </w:tr>
      <w:tr w:rsidR="00F06C14" w:rsidRPr="002B7213" w14:paraId="3E7EC109" w14:textId="77777777" w:rsidTr="00A85AD7">
        <w:trPr>
          <w:trHeight w:val="557"/>
        </w:trPr>
        <w:tc>
          <w:tcPr>
            <w:tcW w:w="7279" w:type="dxa"/>
            <w:shd w:val="clear" w:color="auto" w:fill="auto"/>
          </w:tcPr>
          <w:p w14:paraId="5B791471" w14:textId="161A4255" w:rsidR="00466E35" w:rsidRPr="00D60AF5" w:rsidRDefault="00512AB1" w:rsidP="0014637D">
            <w:pPr>
              <w:rPr>
                <w:rFonts w:cs="Arial"/>
              </w:rPr>
            </w:pPr>
            <w:r w:rsidRPr="00D60AF5">
              <w:rPr>
                <w:rFonts w:cs="Arial"/>
              </w:rPr>
              <w:t>T</w:t>
            </w:r>
            <w:r w:rsidR="00466E35" w:rsidRPr="00D60AF5">
              <w:rPr>
                <w:rFonts w:cs="Arial"/>
              </w:rPr>
              <w:t>he Whistleblowing policy only provides guidance on who within the school concerns should be raised with. The policy does not contain the whistleblowing phone line or details for the Counter Fraud team within GCC. Although the policy is made available to staff via email</w:t>
            </w:r>
            <w:r w:rsidR="000F7314" w:rsidRPr="00D60AF5">
              <w:rPr>
                <w:rFonts w:cs="Arial"/>
              </w:rPr>
              <w:t>,</w:t>
            </w:r>
            <w:r w:rsidR="00466E35" w:rsidRPr="00D60AF5">
              <w:rPr>
                <w:rFonts w:cs="Arial"/>
              </w:rPr>
              <w:t xml:space="preserve"> a copy of it should also be freely available to staff on-site with the ability to access it discreetly.</w:t>
            </w:r>
          </w:p>
          <w:p w14:paraId="4072A97F" w14:textId="77777777" w:rsidR="00973B18" w:rsidRPr="00D60AF5" w:rsidRDefault="00973B18" w:rsidP="0014637D">
            <w:pPr>
              <w:rPr>
                <w:rFonts w:cs="Arial"/>
              </w:rPr>
            </w:pPr>
          </w:p>
          <w:p w14:paraId="0801819E" w14:textId="485584B7" w:rsidR="00973B18" w:rsidRPr="00E615B3" w:rsidRDefault="000111D6" w:rsidP="0014637D">
            <w:pPr>
              <w:rPr>
                <w:rFonts w:cs="Arial"/>
              </w:rPr>
            </w:pPr>
            <w:r w:rsidRPr="00D60AF5">
              <w:rPr>
                <w:rFonts w:cs="Arial"/>
              </w:rPr>
              <w:t xml:space="preserve">The Whistleblowing Policy had not been reviewed and approved by the </w:t>
            </w:r>
            <w:r w:rsidR="00D72BA0">
              <w:rPr>
                <w:rFonts w:cs="Arial"/>
              </w:rPr>
              <w:t>Full Governing Body</w:t>
            </w:r>
            <w:r w:rsidRPr="00E615B3">
              <w:rPr>
                <w:rFonts w:cs="Arial"/>
              </w:rPr>
              <w:t>.</w:t>
            </w:r>
          </w:p>
          <w:p w14:paraId="4DA4A42E" w14:textId="012F7E5B" w:rsidR="005A5AAD" w:rsidRPr="00E615B3" w:rsidRDefault="005A5AAD" w:rsidP="0014637D">
            <w:pPr>
              <w:rPr>
                <w:rFonts w:cs="Arial"/>
              </w:rPr>
            </w:pPr>
          </w:p>
        </w:tc>
        <w:tc>
          <w:tcPr>
            <w:tcW w:w="7351" w:type="dxa"/>
            <w:shd w:val="clear" w:color="auto" w:fill="auto"/>
          </w:tcPr>
          <w:p w14:paraId="6CA635D7" w14:textId="77777777" w:rsidR="00466E35" w:rsidRPr="00E615B3" w:rsidRDefault="00AD7AED" w:rsidP="00E615B3">
            <w:pPr>
              <w:pStyle w:val="Default"/>
            </w:pPr>
            <w:r w:rsidRPr="00E615B3">
              <w:t>Staff may by unaware or unable to raise any concerns with an</w:t>
            </w:r>
            <w:r w:rsidR="00D94C66" w:rsidRPr="00E615B3">
              <w:t xml:space="preserve"> </w:t>
            </w:r>
            <w:r w:rsidRPr="00E615B3">
              <w:t>independent body outs</w:t>
            </w:r>
            <w:r w:rsidR="00D94C66" w:rsidRPr="00E615B3">
              <w:t>i</w:t>
            </w:r>
            <w:r w:rsidRPr="00E615B3">
              <w:t>de of the school.</w:t>
            </w:r>
          </w:p>
          <w:p w14:paraId="3B940A31" w14:textId="77777777" w:rsidR="003D4FC6" w:rsidRPr="00E615B3" w:rsidRDefault="003D4FC6" w:rsidP="00E615B3">
            <w:pPr>
              <w:pStyle w:val="Default"/>
            </w:pPr>
          </w:p>
          <w:p w14:paraId="403B5027" w14:textId="1D55E70E" w:rsidR="003D4FC6" w:rsidRPr="00E615B3" w:rsidRDefault="003D4FC6" w:rsidP="00E615B3">
            <w:pPr>
              <w:pStyle w:val="Default"/>
            </w:pPr>
            <w:r w:rsidRPr="00E615B3">
              <w:t>There is no evidence to certify that the information in the policy is correct.</w:t>
            </w:r>
          </w:p>
        </w:tc>
      </w:tr>
      <w:tr w:rsidR="00F06C14" w:rsidRPr="002B7213" w14:paraId="520B32C8" w14:textId="77777777" w:rsidTr="00A85AD7">
        <w:trPr>
          <w:trHeight w:val="557"/>
        </w:trPr>
        <w:tc>
          <w:tcPr>
            <w:tcW w:w="7279" w:type="dxa"/>
            <w:shd w:val="clear" w:color="auto" w:fill="auto"/>
          </w:tcPr>
          <w:p w14:paraId="3752CE3A" w14:textId="44B66A5D" w:rsidR="004379D0" w:rsidRPr="007B22BA" w:rsidRDefault="00366FA6" w:rsidP="0014637D">
            <w:pPr>
              <w:rPr>
                <w:rFonts w:cs="Arial"/>
              </w:rPr>
            </w:pPr>
            <w:r w:rsidRPr="007B22BA">
              <w:rPr>
                <w:rFonts w:cs="Arial"/>
              </w:rPr>
              <w:t xml:space="preserve">The Finance Policy </w:t>
            </w:r>
            <w:r w:rsidR="00687850" w:rsidRPr="007B22BA">
              <w:rPr>
                <w:rFonts w:cs="Arial"/>
              </w:rPr>
              <w:t>requires updating</w:t>
            </w:r>
            <w:r w:rsidR="004379D0" w:rsidRPr="007B22BA">
              <w:rPr>
                <w:rFonts w:cs="Arial"/>
              </w:rPr>
              <w:t>:</w:t>
            </w:r>
          </w:p>
          <w:p w14:paraId="62749EBF" w14:textId="2C9951B3" w:rsidR="00366FA6" w:rsidRPr="007B22BA" w:rsidRDefault="004379D0" w:rsidP="007B22BA">
            <w:pPr>
              <w:pStyle w:val="ListParagraph"/>
              <w:numPr>
                <w:ilvl w:val="0"/>
                <w:numId w:val="50"/>
              </w:numPr>
              <w:ind w:left="284" w:hanging="284"/>
              <w:rPr>
                <w:rFonts w:cs="Arial"/>
              </w:rPr>
            </w:pPr>
            <w:r w:rsidRPr="007B22BA">
              <w:rPr>
                <w:rFonts w:cs="Arial"/>
              </w:rPr>
              <w:t xml:space="preserve">To </w:t>
            </w:r>
            <w:r w:rsidR="00366FA6" w:rsidRPr="007B22BA">
              <w:rPr>
                <w:rFonts w:cs="Arial"/>
              </w:rPr>
              <w:t xml:space="preserve">make clear who has overall responsibility for budgetary </w:t>
            </w:r>
            <w:r w:rsidR="00FB2038" w:rsidRPr="007B22BA">
              <w:rPr>
                <w:rFonts w:cs="Arial"/>
              </w:rPr>
              <w:t>c</w:t>
            </w:r>
            <w:r w:rsidR="00366FA6" w:rsidRPr="007B22BA">
              <w:rPr>
                <w:rFonts w:cs="Arial"/>
              </w:rPr>
              <w:t>ontrol</w:t>
            </w:r>
            <w:r w:rsidR="000D4E3E" w:rsidRPr="007B22BA">
              <w:rPr>
                <w:rFonts w:cs="Arial"/>
              </w:rPr>
              <w:t>;</w:t>
            </w:r>
          </w:p>
          <w:p w14:paraId="53F54D7E" w14:textId="36BBD44E" w:rsidR="004379D0" w:rsidRPr="007B22BA" w:rsidRDefault="002E3CFC" w:rsidP="007B22BA">
            <w:pPr>
              <w:pStyle w:val="ListParagraph"/>
              <w:numPr>
                <w:ilvl w:val="0"/>
                <w:numId w:val="50"/>
              </w:numPr>
              <w:ind w:left="284" w:hanging="284"/>
              <w:rPr>
                <w:rFonts w:cs="Arial"/>
              </w:rPr>
            </w:pPr>
            <w:r w:rsidRPr="007B22BA">
              <w:rPr>
                <w:rFonts w:cs="Arial"/>
              </w:rPr>
              <w:t>T</w:t>
            </w:r>
            <w:r w:rsidR="00B363C6" w:rsidRPr="007B22BA">
              <w:rPr>
                <w:rFonts w:cs="Arial"/>
              </w:rPr>
              <w:t xml:space="preserve">o </w:t>
            </w:r>
            <w:proofErr w:type="gramStart"/>
            <w:r w:rsidR="00B363C6" w:rsidRPr="007B22BA">
              <w:rPr>
                <w:rFonts w:cs="Arial"/>
              </w:rPr>
              <w:t>t</w:t>
            </w:r>
            <w:r w:rsidRPr="007B22BA">
              <w:rPr>
                <w:rFonts w:cs="Arial"/>
              </w:rPr>
              <w:t>ake into account</w:t>
            </w:r>
            <w:proofErr w:type="gramEnd"/>
            <w:r w:rsidRPr="007B22BA">
              <w:rPr>
                <w:rFonts w:cs="Arial"/>
              </w:rPr>
              <w:t xml:space="preserve"> c</w:t>
            </w:r>
            <w:r w:rsidR="004379D0" w:rsidRPr="007B22BA">
              <w:rPr>
                <w:rFonts w:cs="Arial"/>
              </w:rPr>
              <w:t>hanges to the school staffing structure</w:t>
            </w:r>
            <w:r w:rsidR="00B2637E" w:rsidRPr="007B22BA">
              <w:rPr>
                <w:rFonts w:cs="Arial"/>
              </w:rPr>
              <w:t>; and</w:t>
            </w:r>
          </w:p>
          <w:p w14:paraId="69A4F870" w14:textId="24AB52C7" w:rsidR="00B2637E" w:rsidRPr="007B22BA" w:rsidRDefault="00930491" w:rsidP="007B22BA">
            <w:pPr>
              <w:pStyle w:val="ListParagraph"/>
              <w:numPr>
                <w:ilvl w:val="0"/>
                <w:numId w:val="50"/>
              </w:numPr>
              <w:ind w:left="284" w:hanging="284"/>
              <w:rPr>
                <w:rFonts w:cs="Arial"/>
              </w:rPr>
            </w:pPr>
            <w:r w:rsidRPr="007B22BA">
              <w:rPr>
                <w:rFonts w:cs="Arial"/>
              </w:rPr>
              <w:t>To outline when Governors should be involved in purchasing decisions.</w:t>
            </w:r>
          </w:p>
          <w:p w14:paraId="7D47C15F" w14:textId="68672087" w:rsidR="00695109" w:rsidRPr="007B22BA" w:rsidRDefault="00695109" w:rsidP="0014637D">
            <w:pPr>
              <w:rPr>
                <w:rFonts w:cs="Arial"/>
              </w:rPr>
            </w:pPr>
          </w:p>
        </w:tc>
        <w:tc>
          <w:tcPr>
            <w:tcW w:w="7351" w:type="dxa"/>
            <w:shd w:val="clear" w:color="auto" w:fill="auto"/>
          </w:tcPr>
          <w:p w14:paraId="44D2476E" w14:textId="6E763CF5" w:rsidR="00366FA6" w:rsidRPr="007B22BA" w:rsidRDefault="00FB2038" w:rsidP="007B22BA">
            <w:r w:rsidRPr="007B22BA">
              <w:rPr>
                <w:rFonts w:cs="Arial"/>
                <w:color w:val="000000"/>
              </w:rPr>
              <w:t>Out of date or inaccurate policies can lead to poor accountability and incorrect actions or decisions being taken.</w:t>
            </w:r>
          </w:p>
        </w:tc>
      </w:tr>
      <w:tr w:rsidR="00F06C14" w:rsidRPr="002B7213" w14:paraId="0938D1D8" w14:textId="77777777" w:rsidTr="00A85AD7">
        <w:trPr>
          <w:cantSplit/>
          <w:trHeight w:val="557"/>
        </w:trPr>
        <w:tc>
          <w:tcPr>
            <w:tcW w:w="7279" w:type="dxa"/>
            <w:shd w:val="clear" w:color="auto" w:fill="auto"/>
          </w:tcPr>
          <w:p w14:paraId="5FA46BA1" w14:textId="77777777" w:rsidR="00DA1C2D" w:rsidRPr="007B22BA" w:rsidRDefault="0094767A" w:rsidP="0014637D">
            <w:pPr>
              <w:rPr>
                <w:rFonts w:cs="Arial"/>
              </w:rPr>
            </w:pPr>
            <w:r w:rsidRPr="007B22BA">
              <w:rPr>
                <w:rFonts w:cs="Arial"/>
              </w:rPr>
              <w:lastRenderedPageBreak/>
              <w:t>Governor minutes:</w:t>
            </w:r>
          </w:p>
          <w:p w14:paraId="53A72932" w14:textId="14A5A345" w:rsidR="0094767A" w:rsidRPr="007B22BA" w:rsidRDefault="0094767A" w:rsidP="007B22BA">
            <w:pPr>
              <w:pStyle w:val="ListParagraph"/>
              <w:numPr>
                <w:ilvl w:val="0"/>
                <w:numId w:val="51"/>
              </w:numPr>
              <w:ind w:left="284" w:hanging="284"/>
              <w:rPr>
                <w:rFonts w:cs="Arial"/>
              </w:rPr>
            </w:pPr>
            <w:r w:rsidRPr="007B22BA">
              <w:rPr>
                <w:rFonts w:cs="Arial"/>
              </w:rPr>
              <w:t xml:space="preserve">Did not record any decisions which </w:t>
            </w:r>
            <w:r w:rsidR="005A6C24" w:rsidRPr="007B22BA">
              <w:rPr>
                <w:rFonts w:cs="Arial"/>
              </w:rPr>
              <w:t>we</w:t>
            </w:r>
            <w:r w:rsidRPr="007B22BA">
              <w:rPr>
                <w:rFonts w:cs="Arial"/>
              </w:rPr>
              <w:t>re agreed at previous meeting</w:t>
            </w:r>
            <w:r w:rsidR="005A6C24" w:rsidRPr="007B22BA">
              <w:rPr>
                <w:rFonts w:cs="Arial"/>
              </w:rPr>
              <w:t>s</w:t>
            </w:r>
            <w:r w:rsidRPr="007B22BA">
              <w:rPr>
                <w:rFonts w:cs="Arial"/>
              </w:rPr>
              <w:t>;</w:t>
            </w:r>
          </w:p>
          <w:p w14:paraId="2E3011CF" w14:textId="41527CBF" w:rsidR="0094767A" w:rsidRPr="007B22BA" w:rsidRDefault="00E12FB7" w:rsidP="007B22BA">
            <w:pPr>
              <w:pStyle w:val="ListParagraph"/>
              <w:numPr>
                <w:ilvl w:val="0"/>
                <w:numId w:val="51"/>
              </w:numPr>
              <w:ind w:left="284" w:hanging="284"/>
              <w:rPr>
                <w:rFonts w:cs="Arial"/>
              </w:rPr>
            </w:pPr>
            <w:r w:rsidRPr="007B22BA">
              <w:rPr>
                <w:rFonts w:cs="Arial"/>
              </w:rPr>
              <w:t xml:space="preserve">Did not include decisions which </w:t>
            </w:r>
            <w:r w:rsidR="004C72E2" w:rsidRPr="007B22BA">
              <w:rPr>
                <w:rFonts w:cs="Arial"/>
              </w:rPr>
              <w:t>we</w:t>
            </w:r>
            <w:r w:rsidRPr="007B22BA">
              <w:rPr>
                <w:rFonts w:cs="Arial"/>
              </w:rPr>
              <w:t>re taken outside of meetings;</w:t>
            </w:r>
            <w:r w:rsidR="00E1178D" w:rsidRPr="007B22BA">
              <w:rPr>
                <w:rFonts w:cs="Arial"/>
              </w:rPr>
              <w:t xml:space="preserve"> and</w:t>
            </w:r>
          </w:p>
          <w:p w14:paraId="50384335" w14:textId="50DD35CC" w:rsidR="00E12FB7" w:rsidRPr="007B22BA" w:rsidRDefault="00E12FB7" w:rsidP="007B22BA">
            <w:pPr>
              <w:pStyle w:val="ListParagraph"/>
              <w:numPr>
                <w:ilvl w:val="0"/>
                <w:numId w:val="51"/>
              </w:numPr>
              <w:ind w:left="284" w:hanging="284"/>
              <w:rPr>
                <w:rFonts w:cs="Arial"/>
              </w:rPr>
            </w:pPr>
            <w:r w:rsidRPr="007B22BA">
              <w:rPr>
                <w:rFonts w:cs="Arial"/>
              </w:rPr>
              <w:t>Had not been signed as correct at the subsequent meeting.</w:t>
            </w:r>
          </w:p>
        </w:tc>
        <w:tc>
          <w:tcPr>
            <w:tcW w:w="7351" w:type="dxa"/>
            <w:shd w:val="clear" w:color="auto" w:fill="auto"/>
          </w:tcPr>
          <w:p w14:paraId="4F6DE556" w14:textId="77777777" w:rsidR="00DA1C2D" w:rsidRPr="007B22BA" w:rsidRDefault="00DA1C2D" w:rsidP="007B22BA">
            <w:pPr>
              <w:pStyle w:val="Default"/>
            </w:pPr>
            <w:r w:rsidRPr="007B22BA">
              <w:t>Poor governance arrangements.</w:t>
            </w:r>
          </w:p>
          <w:p w14:paraId="4603E936" w14:textId="77777777" w:rsidR="00DA1C2D" w:rsidRPr="007B22BA" w:rsidRDefault="00DA1C2D" w:rsidP="007B22BA">
            <w:pPr>
              <w:pStyle w:val="Default"/>
            </w:pPr>
          </w:p>
          <w:p w14:paraId="1F1695B6" w14:textId="77777777" w:rsidR="00DA1C2D" w:rsidRPr="007B22BA" w:rsidRDefault="00DA1C2D" w:rsidP="007B22BA">
            <w:pPr>
              <w:pStyle w:val="Default"/>
            </w:pPr>
            <w:r w:rsidRPr="007B22BA">
              <w:t>Lack of openness and transparency.</w:t>
            </w:r>
          </w:p>
          <w:p w14:paraId="407A1978" w14:textId="77777777" w:rsidR="00DA1C2D" w:rsidRPr="007B22BA" w:rsidRDefault="00DA1C2D" w:rsidP="007B22BA">
            <w:pPr>
              <w:pStyle w:val="Default"/>
            </w:pPr>
          </w:p>
          <w:p w14:paraId="272FECD5" w14:textId="77777777" w:rsidR="00DA1C2D" w:rsidRPr="007B22BA" w:rsidRDefault="00DA1C2D" w:rsidP="007B22BA">
            <w:pPr>
              <w:pStyle w:val="Default"/>
            </w:pPr>
            <w:r w:rsidRPr="007B22BA">
              <w:t>Non-compliance with statutory regulations.</w:t>
            </w:r>
          </w:p>
          <w:p w14:paraId="19771A4E" w14:textId="77777777" w:rsidR="00DA1C2D" w:rsidRPr="007B22BA" w:rsidRDefault="00DA1C2D" w:rsidP="007B22BA">
            <w:pPr>
              <w:rPr>
                <w:rFonts w:cs="Arial"/>
                <w:color w:val="000000"/>
              </w:rPr>
            </w:pPr>
          </w:p>
        </w:tc>
      </w:tr>
      <w:tr w:rsidR="00F06C14" w:rsidRPr="002B7213" w14:paraId="758A2592" w14:textId="77777777" w:rsidTr="00A85AD7">
        <w:trPr>
          <w:trHeight w:val="967"/>
        </w:trPr>
        <w:tc>
          <w:tcPr>
            <w:tcW w:w="7279" w:type="dxa"/>
            <w:shd w:val="clear" w:color="auto" w:fill="auto"/>
          </w:tcPr>
          <w:p w14:paraId="4009D879" w14:textId="7F44721E" w:rsidR="00587201" w:rsidRPr="007B22BA" w:rsidRDefault="0014092C" w:rsidP="00CC59B4">
            <w:pPr>
              <w:rPr>
                <w:rFonts w:cs="Arial"/>
              </w:rPr>
            </w:pPr>
            <w:r w:rsidRPr="007B22BA">
              <w:rPr>
                <w:rFonts w:cs="Arial"/>
                <w:color w:val="000000"/>
              </w:rPr>
              <w:t>Although the governors receive a Chart of Accounts report, there is no accompanying narrative to explain the variations.</w:t>
            </w:r>
          </w:p>
        </w:tc>
        <w:tc>
          <w:tcPr>
            <w:tcW w:w="7351" w:type="dxa"/>
            <w:shd w:val="clear" w:color="auto" w:fill="auto"/>
          </w:tcPr>
          <w:p w14:paraId="54C27C30" w14:textId="1B0AD8A4" w:rsidR="00AF253E" w:rsidRPr="007B22BA" w:rsidRDefault="00AF253E" w:rsidP="007B22BA">
            <w:pPr>
              <w:pStyle w:val="Default"/>
            </w:pPr>
            <w:r w:rsidRPr="007B22BA">
              <w:t>Governors may not receive correct</w:t>
            </w:r>
            <w:r w:rsidR="00885688" w:rsidRPr="007B22BA">
              <w:t xml:space="preserve"> or </w:t>
            </w:r>
            <w:r w:rsidRPr="007B22BA">
              <w:t>up-to-date information, impacting on effective decisions</w:t>
            </w:r>
            <w:r w:rsidR="00B71990" w:rsidRPr="007B22BA">
              <w:t>.</w:t>
            </w:r>
          </w:p>
          <w:p w14:paraId="27031F80" w14:textId="77777777" w:rsidR="00B71990" w:rsidRPr="007B22BA" w:rsidRDefault="00B71990" w:rsidP="007B22BA">
            <w:pPr>
              <w:pStyle w:val="Default"/>
            </w:pPr>
          </w:p>
          <w:p w14:paraId="44231C4C" w14:textId="289D136D" w:rsidR="00AF253E" w:rsidRPr="007B22BA" w:rsidRDefault="00AF253E" w:rsidP="007B22BA">
            <w:pPr>
              <w:pStyle w:val="Default"/>
            </w:pPr>
            <w:r w:rsidRPr="007B22BA">
              <w:t>Inability to challenge</w:t>
            </w:r>
            <w:r w:rsidR="00B71990" w:rsidRPr="007B22BA">
              <w:t>.</w:t>
            </w:r>
          </w:p>
          <w:p w14:paraId="5AF7F54B" w14:textId="6B228D88" w:rsidR="00CC59B4" w:rsidRPr="007B22BA" w:rsidRDefault="00CC59B4" w:rsidP="005272D3">
            <w:pPr>
              <w:rPr>
                <w:rFonts w:cs="Arial"/>
              </w:rPr>
            </w:pPr>
          </w:p>
        </w:tc>
      </w:tr>
      <w:tr w:rsidR="00F06C14" w:rsidRPr="002B7213" w14:paraId="72D21CE6" w14:textId="77777777" w:rsidTr="00A85AD7">
        <w:trPr>
          <w:trHeight w:val="628"/>
        </w:trPr>
        <w:tc>
          <w:tcPr>
            <w:tcW w:w="7279" w:type="dxa"/>
            <w:shd w:val="clear" w:color="auto" w:fill="auto"/>
          </w:tcPr>
          <w:p w14:paraId="32B87088" w14:textId="1BE7EBBC" w:rsidR="008D217A" w:rsidRPr="007B22BA" w:rsidRDefault="00FC4771" w:rsidP="00B71990">
            <w:pPr>
              <w:rPr>
                <w:rFonts w:cs="Arial"/>
              </w:rPr>
            </w:pPr>
            <w:r w:rsidRPr="007B22BA">
              <w:rPr>
                <w:rFonts w:cs="Arial"/>
              </w:rPr>
              <w:t>Committees are making decisions even though th</w:t>
            </w:r>
            <w:r w:rsidR="00E55C89" w:rsidRPr="007B22BA">
              <w:rPr>
                <w:rFonts w:cs="Arial"/>
              </w:rPr>
              <w:t>at action has not been delegated to them.</w:t>
            </w:r>
          </w:p>
        </w:tc>
        <w:tc>
          <w:tcPr>
            <w:tcW w:w="7351" w:type="dxa"/>
            <w:shd w:val="clear" w:color="auto" w:fill="auto"/>
          </w:tcPr>
          <w:p w14:paraId="2781575C" w14:textId="77777777" w:rsidR="00376B34" w:rsidRPr="007B22BA" w:rsidRDefault="00376B34" w:rsidP="007B22BA">
            <w:pPr>
              <w:rPr>
                <w:rFonts w:cs="Arial"/>
                <w:color w:val="000000"/>
              </w:rPr>
            </w:pPr>
            <w:r w:rsidRPr="007B22BA">
              <w:rPr>
                <w:rFonts w:cs="Arial"/>
                <w:color w:val="000000"/>
              </w:rPr>
              <w:t>Committees not operating in accordance with FGB delegated responsibilities, resulting in incorrect actions and decisions being taken.</w:t>
            </w:r>
          </w:p>
          <w:p w14:paraId="68C1EDF1" w14:textId="69677CD5" w:rsidR="00654D81" w:rsidRPr="007B22BA" w:rsidRDefault="00654D81" w:rsidP="007B22BA">
            <w:pPr>
              <w:pStyle w:val="Default"/>
            </w:pPr>
          </w:p>
        </w:tc>
      </w:tr>
      <w:tr w:rsidR="00F06C14" w:rsidRPr="002B7213" w14:paraId="297CB9F1" w14:textId="77777777" w:rsidTr="00A85AD7">
        <w:trPr>
          <w:trHeight w:val="628"/>
        </w:trPr>
        <w:tc>
          <w:tcPr>
            <w:tcW w:w="7279" w:type="dxa"/>
            <w:shd w:val="clear" w:color="auto" w:fill="auto"/>
          </w:tcPr>
          <w:p w14:paraId="6A553900" w14:textId="3137BF7B" w:rsidR="008158BD" w:rsidRPr="009D6BCA" w:rsidRDefault="008C3B8C" w:rsidP="008C3B8C">
            <w:pPr>
              <w:rPr>
                <w:rFonts w:cs="Arial"/>
              </w:rPr>
            </w:pPr>
            <w:r w:rsidRPr="009D6BCA">
              <w:rPr>
                <w:rFonts w:cs="Arial"/>
              </w:rPr>
              <w:t xml:space="preserve">The </w:t>
            </w:r>
            <w:r w:rsidR="00A63CC9" w:rsidRPr="009D6BCA">
              <w:rPr>
                <w:rFonts w:cs="Arial"/>
              </w:rPr>
              <w:t xml:space="preserve">Finance Committee </w:t>
            </w:r>
            <w:r w:rsidR="00B80E5E">
              <w:rPr>
                <w:rFonts w:cs="Arial"/>
              </w:rPr>
              <w:t xml:space="preserve">(FC) </w:t>
            </w:r>
            <w:r w:rsidR="00A63CC9" w:rsidRPr="009D6BCA">
              <w:rPr>
                <w:rFonts w:cs="Arial"/>
              </w:rPr>
              <w:t xml:space="preserve">Terms of Reference </w:t>
            </w:r>
            <w:r w:rsidR="008158BD" w:rsidRPr="009D6BCA">
              <w:rPr>
                <w:rFonts w:cs="Arial"/>
              </w:rPr>
              <w:t>ha</w:t>
            </w:r>
            <w:r w:rsidR="004A02CB" w:rsidRPr="009D6BCA">
              <w:rPr>
                <w:rFonts w:cs="Arial"/>
              </w:rPr>
              <w:t>d</w:t>
            </w:r>
            <w:r w:rsidR="008158BD" w:rsidRPr="009D6BCA">
              <w:rPr>
                <w:rFonts w:cs="Arial"/>
              </w:rPr>
              <w:t xml:space="preserve"> not been approved by the FGB</w:t>
            </w:r>
            <w:r w:rsidR="00AA5F59" w:rsidRPr="009D6BCA">
              <w:rPr>
                <w:rFonts w:cs="Arial"/>
              </w:rPr>
              <w:t xml:space="preserve"> in the last 12 months</w:t>
            </w:r>
            <w:r w:rsidR="008158BD" w:rsidRPr="009D6BCA">
              <w:rPr>
                <w:rFonts w:cs="Arial"/>
              </w:rPr>
              <w:t>.</w:t>
            </w:r>
          </w:p>
          <w:p w14:paraId="46B07868" w14:textId="77777777" w:rsidR="008158BD" w:rsidRPr="009D6BCA" w:rsidRDefault="008158BD" w:rsidP="008C3B8C">
            <w:pPr>
              <w:rPr>
                <w:rFonts w:cs="Arial"/>
              </w:rPr>
            </w:pPr>
          </w:p>
          <w:p w14:paraId="21F45EAF" w14:textId="49D3568C" w:rsidR="00A63CC9" w:rsidRPr="009D6BCA" w:rsidRDefault="008158BD" w:rsidP="008C3B8C">
            <w:pPr>
              <w:rPr>
                <w:rFonts w:cs="Arial"/>
              </w:rPr>
            </w:pPr>
            <w:r w:rsidRPr="009D6BCA">
              <w:rPr>
                <w:rFonts w:cs="Arial"/>
              </w:rPr>
              <w:t xml:space="preserve">The </w:t>
            </w:r>
            <w:r w:rsidR="00B80E5E">
              <w:rPr>
                <w:rFonts w:cs="Arial"/>
              </w:rPr>
              <w:t xml:space="preserve">FC </w:t>
            </w:r>
            <w:r w:rsidRPr="009D6BCA">
              <w:rPr>
                <w:rFonts w:cs="Arial"/>
              </w:rPr>
              <w:t xml:space="preserve">Terms of Reference </w:t>
            </w:r>
            <w:r w:rsidR="00A76592" w:rsidRPr="009D6BCA">
              <w:rPr>
                <w:rFonts w:cs="Arial"/>
              </w:rPr>
              <w:t>does not clarify the Committee’s responsibilities.</w:t>
            </w:r>
          </w:p>
          <w:p w14:paraId="73765D41" w14:textId="5F357C74" w:rsidR="00B71990" w:rsidRPr="009D6BCA" w:rsidRDefault="00B71990" w:rsidP="008C3B8C">
            <w:pPr>
              <w:rPr>
                <w:rFonts w:cs="Arial"/>
              </w:rPr>
            </w:pPr>
          </w:p>
        </w:tc>
        <w:tc>
          <w:tcPr>
            <w:tcW w:w="7351" w:type="dxa"/>
            <w:shd w:val="clear" w:color="auto" w:fill="auto"/>
          </w:tcPr>
          <w:p w14:paraId="4E90A32D" w14:textId="3B076FCB" w:rsidR="00F657E3" w:rsidRPr="009D6BCA" w:rsidRDefault="00F657E3" w:rsidP="009D6BCA">
            <w:pPr>
              <w:pStyle w:val="Default"/>
            </w:pPr>
            <w:r w:rsidRPr="009D6BCA">
              <w:t xml:space="preserve">Non-compliance with statutory </w:t>
            </w:r>
            <w:r w:rsidR="00673FD3" w:rsidRPr="009D6BCA">
              <w:t>regulations.</w:t>
            </w:r>
          </w:p>
          <w:p w14:paraId="6DB7C0F8" w14:textId="77777777" w:rsidR="00F657E3" w:rsidRPr="009D6BCA" w:rsidRDefault="00F657E3" w:rsidP="009D6BCA">
            <w:pPr>
              <w:pStyle w:val="Default"/>
            </w:pPr>
          </w:p>
          <w:p w14:paraId="058063AE" w14:textId="1DD0C8E5" w:rsidR="009765A3" w:rsidRPr="009D6BCA" w:rsidRDefault="0048427E" w:rsidP="009D6BCA">
            <w:pPr>
              <w:pStyle w:val="Default"/>
            </w:pPr>
            <w:r w:rsidRPr="009D6BCA">
              <w:t>Lack of understanding of roles and responsibilities</w:t>
            </w:r>
            <w:r w:rsidR="00B71990" w:rsidRPr="009D6BCA">
              <w:t>.</w:t>
            </w:r>
          </w:p>
        </w:tc>
      </w:tr>
      <w:tr w:rsidR="00F06C14" w:rsidRPr="002B7213" w14:paraId="29B681B4" w14:textId="77777777" w:rsidTr="00A85AD7">
        <w:trPr>
          <w:trHeight w:val="967"/>
        </w:trPr>
        <w:tc>
          <w:tcPr>
            <w:tcW w:w="7279" w:type="dxa"/>
            <w:shd w:val="clear" w:color="auto" w:fill="auto"/>
          </w:tcPr>
          <w:p w14:paraId="6A0E979E" w14:textId="378F3069" w:rsidR="00425951" w:rsidRPr="000E0BB6" w:rsidRDefault="00425951" w:rsidP="00322DD1">
            <w:pPr>
              <w:rPr>
                <w:rFonts w:cs="Arial"/>
              </w:rPr>
            </w:pPr>
            <w:r w:rsidRPr="00BD3A85">
              <w:rPr>
                <w:rFonts w:cs="Arial"/>
              </w:rPr>
              <w:t>Register</w:t>
            </w:r>
            <w:r w:rsidR="008C0BE9" w:rsidRPr="00BD3A85">
              <w:rPr>
                <w:rFonts w:cs="Arial"/>
              </w:rPr>
              <w:t xml:space="preserve"> of </w:t>
            </w:r>
            <w:r w:rsidR="001F0331">
              <w:rPr>
                <w:rFonts w:cs="Arial"/>
              </w:rPr>
              <w:t>business i</w:t>
            </w:r>
            <w:r w:rsidR="008C0BE9" w:rsidRPr="000E0BB6">
              <w:rPr>
                <w:rFonts w:cs="Arial"/>
              </w:rPr>
              <w:t>nterest</w:t>
            </w:r>
            <w:r w:rsidRPr="000E0BB6">
              <w:rPr>
                <w:rFonts w:cs="Arial"/>
              </w:rPr>
              <w:t>:</w:t>
            </w:r>
          </w:p>
          <w:p w14:paraId="63273B6F" w14:textId="5494F79F" w:rsidR="00B16B3F" w:rsidRPr="000E0BB6" w:rsidRDefault="00B16B3F" w:rsidP="000E0BB6">
            <w:pPr>
              <w:pStyle w:val="ListParagraph"/>
              <w:numPr>
                <w:ilvl w:val="0"/>
                <w:numId w:val="52"/>
              </w:numPr>
              <w:ind w:left="284" w:hanging="284"/>
              <w:rPr>
                <w:rFonts w:cs="Arial"/>
              </w:rPr>
            </w:pPr>
            <w:r w:rsidRPr="000E0BB6">
              <w:rPr>
                <w:rFonts w:cs="Arial"/>
              </w:rPr>
              <w:t>forms had not been completed by all the Governors and the Headteacher</w:t>
            </w:r>
            <w:r w:rsidR="00425951" w:rsidRPr="000E0BB6">
              <w:rPr>
                <w:rFonts w:cs="Arial"/>
              </w:rPr>
              <w:t>;</w:t>
            </w:r>
          </w:p>
          <w:p w14:paraId="07C621E6" w14:textId="3EDD7E0B" w:rsidR="00701A77" w:rsidRPr="000C03CC" w:rsidRDefault="001F0331" w:rsidP="000E0BB6">
            <w:pPr>
              <w:pStyle w:val="ListParagraph"/>
              <w:numPr>
                <w:ilvl w:val="0"/>
                <w:numId w:val="52"/>
              </w:numPr>
              <w:ind w:left="284" w:hanging="284"/>
              <w:rPr>
                <w:rFonts w:cs="Arial"/>
              </w:rPr>
            </w:pPr>
            <w:r>
              <w:rPr>
                <w:rFonts w:cs="Arial"/>
              </w:rPr>
              <w:t xml:space="preserve">Information </w:t>
            </w:r>
            <w:r w:rsidR="00701A77" w:rsidRPr="000C03CC">
              <w:rPr>
                <w:rFonts w:cs="Arial"/>
              </w:rPr>
              <w:t>on the school’s website was out of date</w:t>
            </w:r>
            <w:r w:rsidR="00E1178D" w:rsidRPr="000C03CC">
              <w:rPr>
                <w:rFonts w:cs="Arial"/>
              </w:rPr>
              <w:t>;</w:t>
            </w:r>
          </w:p>
          <w:p w14:paraId="7D954B28" w14:textId="1C537FF1" w:rsidR="00B82C83" w:rsidRPr="000C03CC" w:rsidRDefault="00B82C83" w:rsidP="000E0BB6">
            <w:pPr>
              <w:pStyle w:val="ListParagraph"/>
              <w:numPr>
                <w:ilvl w:val="0"/>
                <w:numId w:val="52"/>
              </w:numPr>
              <w:ind w:left="284" w:hanging="284"/>
              <w:rPr>
                <w:rFonts w:cs="Arial"/>
                <w:color w:val="000000"/>
              </w:rPr>
            </w:pPr>
            <w:r w:rsidRPr="000C03CC">
              <w:rPr>
                <w:rFonts w:cs="Arial"/>
                <w:color w:val="000000"/>
              </w:rPr>
              <w:t>There was no evidence that the declarations are reviewed and completed annually</w:t>
            </w:r>
            <w:r w:rsidR="00061E1D" w:rsidRPr="000C03CC">
              <w:rPr>
                <w:rFonts w:cs="Arial"/>
                <w:color w:val="000000"/>
              </w:rPr>
              <w:t>; and</w:t>
            </w:r>
          </w:p>
          <w:p w14:paraId="6B8A5B1E" w14:textId="48D32DFD" w:rsidR="00061E1D" w:rsidRPr="000C03CC" w:rsidRDefault="00061E1D" w:rsidP="000E0BB6">
            <w:pPr>
              <w:pStyle w:val="ListParagraph"/>
              <w:numPr>
                <w:ilvl w:val="0"/>
                <w:numId w:val="52"/>
              </w:numPr>
              <w:ind w:left="284" w:hanging="284"/>
              <w:rPr>
                <w:rFonts w:cs="Arial"/>
                <w:color w:val="000000"/>
              </w:rPr>
            </w:pPr>
            <w:r w:rsidRPr="000C03CC">
              <w:rPr>
                <w:rFonts w:cs="Arial"/>
                <w:color w:val="000000"/>
              </w:rPr>
              <w:t xml:space="preserve">The </w:t>
            </w:r>
            <w:r w:rsidR="00B80E5E" w:rsidRPr="00E52B9B">
              <w:rPr>
                <w:rFonts w:cs="Arial"/>
                <w:color w:val="000000"/>
              </w:rPr>
              <w:t>FC</w:t>
            </w:r>
            <w:r w:rsidR="00D72BA0" w:rsidRPr="00E52B9B">
              <w:rPr>
                <w:rFonts w:cs="Arial"/>
                <w:color w:val="000000"/>
              </w:rPr>
              <w:t xml:space="preserve"> </w:t>
            </w:r>
            <w:r w:rsidRPr="000C03CC">
              <w:rPr>
                <w:rFonts w:cs="Arial"/>
                <w:color w:val="000000"/>
              </w:rPr>
              <w:t>Governors are not asked at the beginning of each meeting to declare any interests they may have in any of the agenda items.</w:t>
            </w:r>
          </w:p>
          <w:p w14:paraId="7091D90F" w14:textId="5DDF524C" w:rsidR="00B82C83" w:rsidRPr="000C03CC" w:rsidRDefault="00B82C83" w:rsidP="00322DD1">
            <w:pPr>
              <w:rPr>
                <w:rFonts w:cs="Arial"/>
              </w:rPr>
            </w:pPr>
          </w:p>
        </w:tc>
        <w:tc>
          <w:tcPr>
            <w:tcW w:w="7351" w:type="dxa"/>
            <w:shd w:val="clear" w:color="auto" w:fill="auto"/>
          </w:tcPr>
          <w:p w14:paraId="26410571" w14:textId="3C81ADF2" w:rsidR="00B16B3F" w:rsidRPr="000C03CC" w:rsidRDefault="00B16B3F" w:rsidP="00E52B9B">
            <w:pPr>
              <w:pStyle w:val="ListParagraph"/>
              <w:ind w:left="0"/>
              <w:rPr>
                <w:rFonts w:cs="Arial"/>
              </w:rPr>
            </w:pPr>
            <w:r w:rsidRPr="000C03CC">
              <w:rPr>
                <w:rFonts w:cs="Arial"/>
              </w:rPr>
              <w:t>Non-compliance with statutory regulations</w:t>
            </w:r>
            <w:r w:rsidR="00B71990" w:rsidRPr="000C03CC">
              <w:rPr>
                <w:rFonts w:cs="Arial"/>
              </w:rPr>
              <w:t>.</w:t>
            </w:r>
          </w:p>
          <w:p w14:paraId="55FAE824" w14:textId="77777777" w:rsidR="00B71990" w:rsidRPr="000C03CC" w:rsidRDefault="00B71990" w:rsidP="00E52B9B">
            <w:pPr>
              <w:pStyle w:val="ListParagraph"/>
              <w:ind w:left="0"/>
              <w:rPr>
                <w:rFonts w:cs="Arial"/>
              </w:rPr>
            </w:pPr>
          </w:p>
          <w:p w14:paraId="277A9698" w14:textId="71421D79" w:rsidR="00B16B3F" w:rsidRPr="000C03CC" w:rsidRDefault="00CF58AE" w:rsidP="00E52B9B">
            <w:pPr>
              <w:pStyle w:val="ListParagraph"/>
              <w:ind w:left="0"/>
              <w:rPr>
                <w:rFonts w:cs="Arial"/>
              </w:rPr>
            </w:pPr>
            <w:r w:rsidRPr="000C03CC">
              <w:rPr>
                <w:rFonts w:cs="Arial"/>
              </w:rPr>
              <w:t>Poor governance arrangements</w:t>
            </w:r>
            <w:r w:rsidR="00B71990" w:rsidRPr="000C03CC">
              <w:rPr>
                <w:rFonts w:cs="Arial"/>
              </w:rPr>
              <w:t>.</w:t>
            </w:r>
          </w:p>
          <w:p w14:paraId="7ECCBDD4" w14:textId="56340ADE" w:rsidR="00B71990" w:rsidRPr="000C03CC" w:rsidRDefault="00B71990" w:rsidP="00E52B9B">
            <w:pPr>
              <w:pStyle w:val="ListParagraph"/>
              <w:ind w:left="0"/>
              <w:rPr>
                <w:rFonts w:cs="Arial"/>
              </w:rPr>
            </w:pPr>
          </w:p>
          <w:p w14:paraId="40BBE3C8" w14:textId="77777777" w:rsidR="00B71990" w:rsidRPr="000C03CC" w:rsidRDefault="00B16B3F" w:rsidP="00E52B9B">
            <w:pPr>
              <w:pStyle w:val="ListParagraph"/>
              <w:ind w:left="0"/>
              <w:rPr>
                <w:rFonts w:cs="Arial"/>
              </w:rPr>
            </w:pPr>
            <w:r w:rsidRPr="000C03CC">
              <w:rPr>
                <w:rFonts w:cs="Arial"/>
              </w:rPr>
              <w:t>Lack of openness and transparency</w:t>
            </w:r>
            <w:r w:rsidR="00B71990" w:rsidRPr="000C03CC">
              <w:rPr>
                <w:rFonts w:cs="Arial"/>
              </w:rPr>
              <w:t>.</w:t>
            </w:r>
          </w:p>
          <w:p w14:paraId="3C079E08" w14:textId="77777777" w:rsidR="00061E1D" w:rsidRPr="000C03CC" w:rsidRDefault="00061E1D" w:rsidP="00E52B9B">
            <w:pPr>
              <w:pStyle w:val="ListParagraph"/>
              <w:ind w:left="0"/>
              <w:rPr>
                <w:rFonts w:cs="Arial"/>
              </w:rPr>
            </w:pPr>
          </w:p>
          <w:p w14:paraId="0B467FF0" w14:textId="77777777" w:rsidR="00061E1D" w:rsidRPr="000C03CC" w:rsidRDefault="00061E1D" w:rsidP="00E52B9B">
            <w:pPr>
              <w:rPr>
                <w:rFonts w:cs="Arial"/>
                <w:color w:val="000000"/>
              </w:rPr>
            </w:pPr>
            <w:r w:rsidRPr="000C03CC">
              <w:rPr>
                <w:rFonts w:cs="Arial"/>
                <w:color w:val="000000"/>
              </w:rPr>
              <w:t>Potential conflict of interest not declared.</w:t>
            </w:r>
          </w:p>
          <w:p w14:paraId="24F01731" w14:textId="0A710063" w:rsidR="00061E1D" w:rsidRPr="000C03CC" w:rsidRDefault="00061E1D" w:rsidP="00E52B9B">
            <w:pPr>
              <w:pStyle w:val="ListParagraph"/>
              <w:ind w:left="0"/>
              <w:rPr>
                <w:rFonts w:cs="Arial"/>
              </w:rPr>
            </w:pPr>
          </w:p>
        </w:tc>
      </w:tr>
      <w:tr w:rsidR="00F06C14" w:rsidRPr="002B7213" w14:paraId="3C98BC24" w14:textId="77777777" w:rsidTr="00A85AD7">
        <w:trPr>
          <w:trHeight w:val="967"/>
        </w:trPr>
        <w:tc>
          <w:tcPr>
            <w:tcW w:w="7279" w:type="dxa"/>
            <w:shd w:val="clear" w:color="auto" w:fill="auto"/>
          </w:tcPr>
          <w:p w14:paraId="3C34DE15" w14:textId="46BB8420" w:rsidR="00675ABE" w:rsidRPr="0061493F" w:rsidRDefault="00675ABE" w:rsidP="001F651D">
            <w:pPr>
              <w:rPr>
                <w:rFonts w:cs="Arial"/>
                <w:color w:val="000000"/>
              </w:rPr>
            </w:pPr>
            <w:r w:rsidRPr="0061493F">
              <w:rPr>
                <w:rFonts w:cs="Arial"/>
                <w:color w:val="000000"/>
              </w:rPr>
              <w:lastRenderedPageBreak/>
              <w:t xml:space="preserve">The Chair of the </w:t>
            </w:r>
            <w:r w:rsidR="00D72BA0">
              <w:rPr>
                <w:rFonts w:cs="Arial"/>
                <w:color w:val="000000"/>
              </w:rPr>
              <w:t xml:space="preserve">FC </w:t>
            </w:r>
            <w:r w:rsidRPr="0061493F">
              <w:rPr>
                <w:rFonts w:cs="Arial"/>
                <w:color w:val="000000"/>
              </w:rPr>
              <w:t>is not reporting a summary of FC decisions at the subsequent FGB meeting.</w:t>
            </w:r>
          </w:p>
        </w:tc>
        <w:tc>
          <w:tcPr>
            <w:tcW w:w="7351" w:type="dxa"/>
            <w:shd w:val="clear" w:color="auto" w:fill="auto"/>
          </w:tcPr>
          <w:p w14:paraId="1956AF41" w14:textId="77777777" w:rsidR="00B921D6" w:rsidRPr="0061493F" w:rsidRDefault="00675ABE" w:rsidP="0061493F">
            <w:pPr>
              <w:rPr>
                <w:rFonts w:cs="Arial"/>
                <w:color w:val="000000"/>
              </w:rPr>
            </w:pPr>
            <w:r w:rsidRPr="0061493F">
              <w:rPr>
                <w:rFonts w:cs="Arial"/>
                <w:color w:val="000000"/>
              </w:rPr>
              <w:t>Lack of openness and transparency</w:t>
            </w:r>
          </w:p>
          <w:p w14:paraId="4041E9DC" w14:textId="77777777" w:rsidR="00B921D6" w:rsidRPr="0061493F" w:rsidRDefault="00B921D6" w:rsidP="0061493F">
            <w:pPr>
              <w:rPr>
                <w:rFonts w:cs="Arial"/>
                <w:color w:val="000000"/>
              </w:rPr>
            </w:pPr>
          </w:p>
          <w:p w14:paraId="6F7E5BF6" w14:textId="2D8E1ED7" w:rsidR="00675ABE" w:rsidRPr="0061493F" w:rsidRDefault="00675ABE" w:rsidP="0061493F">
            <w:pPr>
              <w:rPr>
                <w:rFonts w:cs="Arial"/>
                <w:color w:val="000000"/>
              </w:rPr>
            </w:pPr>
            <w:r w:rsidRPr="0061493F">
              <w:rPr>
                <w:rFonts w:cs="Arial"/>
                <w:color w:val="000000"/>
              </w:rPr>
              <w:t>Poor governance arrangements</w:t>
            </w:r>
          </w:p>
          <w:p w14:paraId="53389429" w14:textId="77777777" w:rsidR="00675ABE" w:rsidRPr="0061493F" w:rsidRDefault="00675ABE" w:rsidP="0061493F">
            <w:pPr>
              <w:rPr>
                <w:rFonts w:cs="Arial"/>
                <w:color w:val="000000"/>
              </w:rPr>
            </w:pPr>
          </w:p>
        </w:tc>
      </w:tr>
      <w:tr w:rsidR="00F06C14" w:rsidRPr="002B7213" w14:paraId="2426A69E" w14:textId="77777777" w:rsidTr="00A85AD7">
        <w:trPr>
          <w:trHeight w:val="967"/>
        </w:trPr>
        <w:tc>
          <w:tcPr>
            <w:tcW w:w="7279" w:type="dxa"/>
            <w:shd w:val="clear" w:color="auto" w:fill="auto"/>
          </w:tcPr>
          <w:p w14:paraId="7BF2706C" w14:textId="58CA16AD" w:rsidR="00FD0BEB" w:rsidRPr="0061493F" w:rsidRDefault="007631F6" w:rsidP="00675ABE">
            <w:pPr>
              <w:rPr>
                <w:rFonts w:cs="Arial"/>
                <w:color w:val="000000"/>
              </w:rPr>
            </w:pPr>
            <w:r w:rsidRPr="0061493F">
              <w:rPr>
                <w:rFonts w:cs="Arial"/>
                <w:color w:val="000000"/>
              </w:rPr>
              <w:t>There is no evidence of the School Fund having been audited for a number of years.</w:t>
            </w:r>
          </w:p>
        </w:tc>
        <w:tc>
          <w:tcPr>
            <w:tcW w:w="7351" w:type="dxa"/>
            <w:shd w:val="clear" w:color="auto" w:fill="auto"/>
          </w:tcPr>
          <w:p w14:paraId="1649C6C6" w14:textId="77187873" w:rsidR="00FD0BEB" w:rsidRPr="0061493F" w:rsidRDefault="007631F6" w:rsidP="0061493F">
            <w:pPr>
              <w:rPr>
                <w:rFonts w:cs="Arial"/>
                <w:color w:val="000000"/>
              </w:rPr>
            </w:pPr>
            <w:r w:rsidRPr="0061493F">
              <w:rPr>
                <w:rFonts w:cs="Arial"/>
                <w:color w:val="000000"/>
              </w:rPr>
              <w:t>Potential for fraud and irregularity</w:t>
            </w:r>
            <w:r w:rsidR="009E30E2" w:rsidRPr="0061493F">
              <w:rPr>
                <w:rFonts w:cs="Arial"/>
                <w:color w:val="000000"/>
              </w:rPr>
              <w:t>.</w:t>
            </w:r>
          </w:p>
          <w:p w14:paraId="763C4EDD" w14:textId="77777777" w:rsidR="007631F6" w:rsidRPr="0061493F" w:rsidRDefault="007631F6" w:rsidP="0061493F">
            <w:pPr>
              <w:rPr>
                <w:rFonts w:cs="Arial"/>
                <w:color w:val="000000"/>
              </w:rPr>
            </w:pPr>
          </w:p>
          <w:p w14:paraId="1ECFC789" w14:textId="38859100" w:rsidR="007631F6" w:rsidRPr="0061493F" w:rsidRDefault="009E30E2" w:rsidP="0061493F">
            <w:pPr>
              <w:rPr>
                <w:rFonts w:cs="Arial"/>
                <w:color w:val="000000"/>
              </w:rPr>
            </w:pPr>
            <w:r w:rsidRPr="0061493F">
              <w:rPr>
                <w:rFonts w:cs="Arial"/>
                <w:color w:val="000000"/>
              </w:rPr>
              <w:t>Lack of Governor oversight.</w:t>
            </w:r>
          </w:p>
        </w:tc>
      </w:tr>
      <w:tr w:rsidR="00F06C14" w:rsidRPr="002B7213" w14:paraId="1FB848B8" w14:textId="77777777" w:rsidTr="00A85AD7">
        <w:tc>
          <w:tcPr>
            <w:tcW w:w="7279" w:type="dxa"/>
            <w:shd w:val="clear" w:color="auto" w:fill="auto"/>
          </w:tcPr>
          <w:p w14:paraId="599A9421" w14:textId="128C6B45" w:rsidR="00AF253E" w:rsidRPr="00315B62" w:rsidRDefault="009765A3" w:rsidP="00271815">
            <w:pPr>
              <w:jc w:val="center"/>
              <w:rPr>
                <w:rFonts w:cs="Arial"/>
                <w:b/>
                <w:sz w:val="28"/>
                <w:szCs w:val="28"/>
              </w:rPr>
            </w:pPr>
            <w:r w:rsidRPr="00315B62">
              <w:br w:type="page"/>
            </w:r>
            <w:r w:rsidR="00AF253E" w:rsidRPr="00315B62">
              <w:rPr>
                <w:rFonts w:cs="Arial"/>
                <w:b/>
                <w:sz w:val="28"/>
                <w:szCs w:val="28"/>
              </w:rPr>
              <w:t>Purchasing</w:t>
            </w:r>
          </w:p>
          <w:p w14:paraId="1A31A99B" w14:textId="77777777" w:rsidR="00322DD1" w:rsidRPr="00315B62" w:rsidRDefault="00322DD1" w:rsidP="00271815">
            <w:pPr>
              <w:jc w:val="center"/>
              <w:rPr>
                <w:rFonts w:cs="Arial"/>
                <w:bCs/>
                <w:sz w:val="22"/>
                <w:szCs w:val="22"/>
              </w:rPr>
            </w:pPr>
          </w:p>
        </w:tc>
        <w:tc>
          <w:tcPr>
            <w:tcW w:w="7351" w:type="dxa"/>
            <w:shd w:val="clear" w:color="auto" w:fill="auto"/>
          </w:tcPr>
          <w:p w14:paraId="7E445D32" w14:textId="77777777" w:rsidR="00AF253E" w:rsidRPr="00315B62" w:rsidRDefault="00AF253E" w:rsidP="00AC6364">
            <w:pPr>
              <w:rPr>
                <w:rFonts w:cs="Arial"/>
                <w:sz w:val="20"/>
                <w:szCs w:val="20"/>
              </w:rPr>
            </w:pPr>
          </w:p>
        </w:tc>
      </w:tr>
      <w:tr w:rsidR="00F06C14" w:rsidRPr="002B7213" w14:paraId="5142F2E3" w14:textId="77777777" w:rsidTr="00A85AD7">
        <w:tc>
          <w:tcPr>
            <w:tcW w:w="7279" w:type="dxa"/>
            <w:shd w:val="clear" w:color="auto" w:fill="auto"/>
          </w:tcPr>
          <w:p w14:paraId="204D4D95" w14:textId="4A882CAE" w:rsidR="009765A3" w:rsidRPr="0061493F" w:rsidRDefault="004C3537" w:rsidP="008642CA">
            <w:pPr>
              <w:rPr>
                <w:rFonts w:cs="Arial"/>
              </w:rPr>
            </w:pPr>
            <w:r w:rsidRPr="0061493F">
              <w:rPr>
                <w:rFonts w:cs="Arial"/>
              </w:rPr>
              <w:t>Order forms are not being consistently used</w:t>
            </w:r>
            <w:r w:rsidR="00AF253E" w:rsidRPr="0061493F">
              <w:rPr>
                <w:rFonts w:cs="Arial"/>
              </w:rPr>
              <w:t xml:space="preserve"> as part of </w:t>
            </w:r>
            <w:r w:rsidR="009765A3" w:rsidRPr="0061493F">
              <w:rPr>
                <w:rFonts w:cs="Arial"/>
              </w:rPr>
              <w:t xml:space="preserve">the </w:t>
            </w:r>
            <w:r w:rsidR="00AF253E" w:rsidRPr="0061493F">
              <w:rPr>
                <w:rFonts w:cs="Arial"/>
              </w:rPr>
              <w:t>purchasing process.</w:t>
            </w:r>
          </w:p>
        </w:tc>
        <w:tc>
          <w:tcPr>
            <w:tcW w:w="7351" w:type="dxa"/>
            <w:shd w:val="clear" w:color="auto" w:fill="auto"/>
          </w:tcPr>
          <w:p w14:paraId="50A61DFA" w14:textId="5762A8F1" w:rsidR="00AF253E" w:rsidRPr="0061493F" w:rsidRDefault="00AF253E" w:rsidP="0061493F">
            <w:pPr>
              <w:pStyle w:val="ListParagraph"/>
              <w:ind w:left="0"/>
              <w:rPr>
                <w:rFonts w:cs="Arial"/>
              </w:rPr>
            </w:pPr>
            <w:r w:rsidRPr="0061493F">
              <w:rPr>
                <w:rFonts w:cs="Arial"/>
              </w:rPr>
              <w:t>Unauthorised purchases could be made</w:t>
            </w:r>
            <w:r w:rsidR="00B71990" w:rsidRPr="0061493F">
              <w:rPr>
                <w:rFonts w:cs="Arial"/>
              </w:rPr>
              <w:t>.</w:t>
            </w:r>
          </w:p>
          <w:p w14:paraId="7EF7F87E" w14:textId="77777777" w:rsidR="00B71990" w:rsidRPr="0061493F" w:rsidRDefault="00B71990" w:rsidP="0061493F">
            <w:pPr>
              <w:pStyle w:val="ListParagraph"/>
              <w:ind w:left="0"/>
              <w:rPr>
                <w:rFonts w:cs="Arial"/>
              </w:rPr>
            </w:pPr>
          </w:p>
          <w:p w14:paraId="0FD8D94A" w14:textId="7C66D898" w:rsidR="00AF253E" w:rsidRPr="0061493F" w:rsidRDefault="00AF253E" w:rsidP="0061493F">
            <w:pPr>
              <w:pStyle w:val="ListParagraph"/>
              <w:ind w:left="0"/>
              <w:rPr>
                <w:rFonts w:cs="Arial"/>
              </w:rPr>
            </w:pPr>
            <w:r w:rsidRPr="0061493F">
              <w:rPr>
                <w:rFonts w:cs="Arial"/>
              </w:rPr>
              <w:t>Non</w:t>
            </w:r>
            <w:r w:rsidR="00B16B3F" w:rsidRPr="0061493F">
              <w:rPr>
                <w:rFonts w:cs="Arial"/>
              </w:rPr>
              <w:t>-</w:t>
            </w:r>
            <w:r w:rsidRPr="0061493F">
              <w:rPr>
                <w:rFonts w:cs="Arial"/>
              </w:rPr>
              <w:t>compliance with Finance Policy</w:t>
            </w:r>
            <w:r w:rsidR="00B71990" w:rsidRPr="0061493F">
              <w:rPr>
                <w:rFonts w:cs="Arial"/>
              </w:rPr>
              <w:t>.</w:t>
            </w:r>
          </w:p>
          <w:p w14:paraId="109045A5" w14:textId="77777777" w:rsidR="00B71990" w:rsidRPr="0061493F" w:rsidRDefault="00B71990" w:rsidP="0061493F">
            <w:pPr>
              <w:pStyle w:val="ListParagraph"/>
              <w:ind w:left="0"/>
              <w:rPr>
                <w:rFonts w:cs="Arial"/>
              </w:rPr>
            </w:pPr>
          </w:p>
          <w:p w14:paraId="0D149AB7" w14:textId="09CC7953" w:rsidR="00AF253E" w:rsidRPr="0061493F" w:rsidRDefault="00AF253E" w:rsidP="0061493F">
            <w:pPr>
              <w:pStyle w:val="ListParagraph"/>
              <w:ind w:left="0"/>
              <w:rPr>
                <w:rFonts w:cs="Arial"/>
              </w:rPr>
            </w:pPr>
            <w:r w:rsidRPr="0061493F">
              <w:rPr>
                <w:rFonts w:cs="Arial"/>
              </w:rPr>
              <w:t>Misappropriation of funds</w:t>
            </w:r>
            <w:r w:rsidR="00B71990" w:rsidRPr="0061493F">
              <w:rPr>
                <w:rFonts w:cs="Arial"/>
              </w:rPr>
              <w:t>.</w:t>
            </w:r>
          </w:p>
          <w:p w14:paraId="6A80261C" w14:textId="77777777" w:rsidR="00B16B3F" w:rsidRPr="0061493F" w:rsidRDefault="00B16B3F" w:rsidP="0061493F">
            <w:pPr>
              <w:pStyle w:val="ListParagraph"/>
              <w:ind w:left="0"/>
              <w:rPr>
                <w:rFonts w:cs="Arial"/>
              </w:rPr>
            </w:pPr>
          </w:p>
        </w:tc>
      </w:tr>
      <w:tr w:rsidR="00F06C14" w:rsidRPr="002B7213" w14:paraId="57C505AF" w14:textId="77777777" w:rsidTr="00A85AD7">
        <w:trPr>
          <w:trHeight w:val="274"/>
        </w:trPr>
        <w:tc>
          <w:tcPr>
            <w:tcW w:w="7279" w:type="dxa"/>
            <w:shd w:val="clear" w:color="auto" w:fill="auto"/>
          </w:tcPr>
          <w:p w14:paraId="2D2378DF" w14:textId="77777777" w:rsidR="008F4896" w:rsidRPr="0061493F" w:rsidRDefault="00224ACC" w:rsidP="008642CA">
            <w:pPr>
              <w:rPr>
                <w:rFonts w:cs="Arial"/>
              </w:rPr>
            </w:pPr>
            <w:r w:rsidRPr="0061493F">
              <w:rPr>
                <w:rFonts w:cs="Arial"/>
              </w:rPr>
              <w:t>The Finance Policy was not followed in respect of</w:t>
            </w:r>
            <w:r w:rsidR="008F4896" w:rsidRPr="0061493F">
              <w:rPr>
                <w:rFonts w:cs="Arial"/>
              </w:rPr>
              <w:t>:</w:t>
            </w:r>
          </w:p>
          <w:p w14:paraId="0E640BC5" w14:textId="68C37E2A" w:rsidR="008F4896" w:rsidRPr="0061493F" w:rsidRDefault="008F4896" w:rsidP="0061493F">
            <w:pPr>
              <w:pStyle w:val="ListParagraph"/>
              <w:numPr>
                <w:ilvl w:val="0"/>
                <w:numId w:val="53"/>
              </w:numPr>
              <w:ind w:left="284" w:hanging="284"/>
              <w:rPr>
                <w:rFonts w:cs="Arial"/>
              </w:rPr>
            </w:pPr>
            <w:r w:rsidRPr="0061493F">
              <w:rPr>
                <w:rFonts w:cs="Arial"/>
              </w:rPr>
              <w:t>Authorisation of orders</w:t>
            </w:r>
            <w:r w:rsidR="009A7A45" w:rsidRPr="0061493F">
              <w:rPr>
                <w:rFonts w:cs="Arial"/>
              </w:rPr>
              <w:t>;</w:t>
            </w:r>
          </w:p>
          <w:p w14:paraId="44AE099C" w14:textId="2ECC1343" w:rsidR="008F4896" w:rsidRPr="0061493F" w:rsidRDefault="007A2DDA" w:rsidP="0061493F">
            <w:pPr>
              <w:pStyle w:val="ListParagraph"/>
              <w:numPr>
                <w:ilvl w:val="0"/>
                <w:numId w:val="53"/>
              </w:numPr>
              <w:ind w:left="284" w:hanging="284"/>
              <w:rPr>
                <w:rFonts w:cs="Arial"/>
              </w:rPr>
            </w:pPr>
            <w:r w:rsidRPr="0061493F">
              <w:rPr>
                <w:rFonts w:cs="Arial"/>
              </w:rPr>
              <w:t xml:space="preserve">Obtaining </w:t>
            </w:r>
            <w:r w:rsidR="0039320A" w:rsidRPr="0061493F">
              <w:rPr>
                <w:rFonts w:cs="Arial"/>
              </w:rPr>
              <w:t>p</w:t>
            </w:r>
            <w:r w:rsidR="008768B2" w:rsidRPr="0061493F">
              <w:rPr>
                <w:rFonts w:cs="Arial"/>
              </w:rPr>
              <w:t xml:space="preserve">re-approval for </w:t>
            </w:r>
            <w:r w:rsidR="0039320A" w:rsidRPr="0061493F">
              <w:rPr>
                <w:rFonts w:cs="Arial"/>
              </w:rPr>
              <w:t>orders</w:t>
            </w:r>
            <w:r w:rsidR="009A7A45" w:rsidRPr="0061493F">
              <w:rPr>
                <w:rFonts w:cs="Arial"/>
              </w:rPr>
              <w:t>;</w:t>
            </w:r>
          </w:p>
          <w:p w14:paraId="0E0A80BC" w14:textId="31AF05BF" w:rsidR="008768B2" w:rsidRPr="0061493F" w:rsidRDefault="008768B2" w:rsidP="0061493F">
            <w:pPr>
              <w:pStyle w:val="ListParagraph"/>
              <w:numPr>
                <w:ilvl w:val="0"/>
                <w:numId w:val="53"/>
              </w:numPr>
              <w:ind w:left="284" w:hanging="284"/>
              <w:rPr>
                <w:rFonts w:cs="Arial"/>
              </w:rPr>
            </w:pPr>
            <w:r w:rsidRPr="0061493F">
              <w:rPr>
                <w:rFonts w:cs="Arial"/>
              </w:rPr>
              <w:t>Retaining evidence of price checks</w:t>
            </w:r>
            <w:r w:rsidR="009A7A45" w:rsidRPr="0061493F">
              <w:rPr>
                <w:rFonts w:cs="Arial"/>
              </w:rPr>
              <w:t>;</w:t>
            </w:r>
            <w:r w:rsidR="00E2292C" w:rsidRPr="0061493F">
              <w:rPr>
                <w:rFonts w:cs="Arial"/>
              </w:rPr>
              <w:t xml:space="preserve"> and</w:t>
            </w:r>
          </w:p>
          <w:p w14:paraId="370D72A9" w14:textId="45FB843C" w:rsidR="00224ACC" w:rsidRPr="0061493F" w:rsidRDefault="0039320A" w:rsidP="0061493F">
            <w:pPr>
              <w:pStyle w:val="ListParagraph"/>
              <w:numPr>
                <w:ilvl w:val="0"/>
                <w:numId w:val="53"/>
              </w:numPr>
              <w:ind w:left="284" w:hanging="284"/>
              <w:rPr>
                <w:rFonts w:cs="Arial"/>
              </w:rPr>
            </w:pPr>
            <w:r w:rsidRPr="0061493F">
              <w:rPr>
                <w:rFonts w:cs="Arial"/>
              </w:rPr>
              <w:t>I</w:t>
            </w:r>
            <w:r w:rsidR="00224ACC" w:rsidRPr="0061493F">
              <w:rPr>
                <w:rFonts w:cs="Arial"/>
              </w:rPr>
              <w:t>nvolving Governors where required and ensuring all decisions are recorded in the Governor minutes.</w:t>
            </w:r>
          </w:p>
        </w:tc>
        <w:tc>
          <w:tcPr>
            <w:tcW w:w="7351" w:type="dxa"/>
            <w:shd w:val="clear" w:color="auto" w:fill="auto"/>
          </w:tcPr>
          <w:p w14:paraId="3EBA470F" w14:textId="1439216C" w:rsidR="00224ACC" w:rsidRPr="0061493F" w:rsidRDefault="00224ACC" w:rsidP="0061493F">
            <w:pPr>
              <w:pStyle w:val="Default"/>
            </w:pPr>
            <w:r w:rsidRPr="0061493F">
              <w:t>Poor value for money</w:t>
            </w:r>
            <w:r w:rsidR="006E76C5" w:rsidRPr="0061493F">
              <w:t>.</w:t>
            </w:r>
          </w:p>
          <w:p w14:paraId="6EC3DC43" w14:textId="77777777" w:rsidR="006E76C5" w:rsidRPr="0061493F" w:rsidRDefault="006E76C5" w:rsidP="0061493F">
            <w:pPr>
              <w:pStyle w:val="Default"/>
            </w:pPr>
          </w:p>
          <w:p w14:paraId="0B44D681" w14:textId="0FEB89CE" w:rsidR="00224ACC" w:rsidRPr="0061493F" w:rsidRDefault="00224ACC" w:rsidP="0061493F">
            <w:pPr>
              <w:pStyle w:val="Default"/>
            </w:pPr>
            <w:r w:rsidRPr="0061493F">
              <w:t>Non-compliance with the school’s Finance Policy</w:t>
            </w:r>
            <w:r w:rsidR="006E76C5" w:rsidRPr="0061493F">
              <w:t>.</w:t>
            </w:r>
          </w:p>
          <w:p w14:paraId="5A1260E7" w14:textId="77777777" w:rsidR="006E76C5" w:rsidRPr="0061493F" w:rsidRDefault="006E76C5" w:rsidP="0061493F">
            <w:pPr>
              <w:pStyle w:val="Default"/>
            </w:pPr>
          </w:p>
          <w:p w14:paraId="13F6FE18" w14:textId="77777777" w:rsidR="00224ACC" w:rsidRPr="0061493F" w:rsidRDefault="00224ACC" w:rsidP="0061493F">
            <w:pPr>
              <w:pStyle w:val="Default"/>
            </w:pPr>
            <w:r w:rsidRPr="0061493F">
              <w:t>Invalid purchases could be made</w:t>
            </w:r>
            <w:r w:rsidR="006E76C5" w:rsidRPr="0061493F">
              <w:t>.</w:t>
            </w:r>
          </w:p>
          <w:p w14:paraId="5534AE47" w14:textId="77777777" w:rsidR="00977030" w:rsidRPr="0061493F" w:rsidRDefault="00977030" w:rsidP="0061493F">
            <w:pPr>
              <w:pStyle w:val="Default"/>
            </w:pPr>
          </w:p>
          <w:p w14:paraId="0C787ABE" w14:textId="111F9416" w:rsidR="00977030" w:rsidRPr="0061493F" w:rsidRDefault="00977030" w:rsidP="0061493F">
            <w:pPr>
              <w:pStyle w:val="Default"/>
            </w:pPr>
            <w:r w:rsidRPr="0061493F">
              <w:t>No evidence to support decisions made.</w:t>
            </w:r>
          </w:p>
          <w:p w14:paraId="19F49A02" w14:textId="6CDA763D" w:rsidR="006E76C5" w:rsidRPr="0061493F" w:rsidRDefault="006E76C5" w:rsidP="0061493F">
            <w:pPr>
              <w:pStyle w:val="Default"/>
            </w:pPr>
          </w:p>
        </w:tc>
      </w:tr>
      <w:tr w:rsidR="00F06C14" w:rsidRPr="002B7213" w14:paraId="244B57DF" w14:textId="77777777" w:rsidTr="00A85AD7">
        <w:trPr>
          <w:cantSplit/>
          <w:trHeight w:val="274"/>
        </w:trPr>
        <w:tc>
          <w:tcPr>
            <w:tcW w:w="7279" w:type="dxa"/>
            <w:shd w:val="clear" w:color="auto" w:fill="auto"/>
          </w:tcPr>
          <w:p w14:paraId="48849F09" w14:textId="0B059FA9" w:rsidR="00BF7A12" w:rsidRPr="0061493F" w:rsidRDefault="00BF7A12" w:rsidP="00BF7A12">
            <w:pPr>
              <w:rPr>
                <w:rFonts w:cs="Arial"/>
                <w:color w:val="000000"/>
              </w:rPr>
            </w:pPr>
            <w:r w:rsidRPr="0061493F">
              <w:rPr>
                <w:rFonts w:cs="Arial"/>
                <w:color w:val="000000"/>
              </w:rPr>
              <w:t xml:space="preserve">The TOR for the </w:t>
            </w:r>
            <w:r w:rsidR="00D72BA0">
              <w:rPr>
                <w:rFonts w:cs="Arial"/>
                <w:color w:val="000000"/>
              </w:rPr>
              <w:t xml:space="preserve">FC </w:t>
            </w:r>
            <w:r w:rsidRPr="0061493F">
              <w:rPr>
                <w:rFonts w:cs="Arial"/>
                <w:color w:val="000000"/>
              </w:rPr>
              <w:t>is not aligned to the Finance policy with regard to purchasing thresholds.</w:t>
            </w:r>
          </w:p>
          <w:p w14:paraId="5E045074" w14:textId="77777777" w:rsidR="00EE6B39" w:rsidRPr="0061493F" w:rsidRDefault="00EE6B39" w:rsidP="008642CA">
            <w:pPr>
              <w:rPr>
                <w:rFonts w:cs="Arial"/>
              </w:rPr>
            </w:pPr>
          </w:p>
        </w:tc>
        <w:tc>
          <w:tcPr>
            <w:tcW w:w="7351" w:type="dxa"/>
            <w:shd w:val="clear" w:color="auto" w:fill="auto"/>
          </w:tcPr>
          <w:p w14:paraId="668F58B7" w14:textId="7260FBC8" w:rsidR="00EE6B39" w:rsidRPr="0061493F" w:rsidRDefault="00394AB7" w:rsidP="0061493F">
            <w:pPr>
              <w:pStyle w:val="Default"/>
              <w:tabs>
                <w:tab w:val="left" w:pos="2844"/>
              </w:tabs>
            </w:pPr>
            <w:r w:rsidRPr="0061493F">
              <w:t>Potential for fraud and irregular</w:t>
            </w:r>
            <w:r w:rsidR="00FB01A1" w:rsidRPr="0061493F">
              <w:t>ity.</w:t>
            </w:r>
          </w:p>
        </w:tc>
      </w:tr>
      <w:tr w:rsidR="00F06C14" w:rsidRPr="002B7213" w14:paraId="179A5E79" w14:textId="77777777" w:rsidTr="00A85AD7">
        <w:trPr>
          <w:trHeight w:val="274"/>
        </w:trPr>
        <w:tc>
          <w:tcPr>
            <w:tcW w:w="7279" w:type="dxa"/>
            <w:shd w:val="clear" w:color="auto" w:fill="auto"/>
          </w:tcPr>
          <w:p w14:paraId="1D27C35A" w14:textId="1B9C2895" w:rsidR="00AC09C4" w:rsidRPr="0061493F" w:rsidRDefault="00F22891" w:rsidP="0064327E">
            <w:pPr>
              <w:rPr>
                <w:rFonts w:cs="Arial"/>
              </w:rPr>
            </w:pPr>
            <w:r w:rsidRPr="0061493F">
              <w:rPr>
                <w:rFonts w:cs="Arial"/>
              </w:rPr>
              <w:t xml:space="preserve">The required HMRC </w:t>
            </w:r>
            <w:r w:rsidR="008B4A64" w:rsidRPr="0061493F">
              <w:rPr>
                <w:rFonts w:cs="Arial"/>
              </w:rPr>
              <w:t xml:space="preserve">employment status </w:t>
            </w:r>
            <w:r w:rsidRPr="0061493F">
              <w:rPr>
                <w:rFonts w:cs="Arial"/>
              </w:rPr>
              <w:t>checks</w:t>
            </w:r>
            <w:r w:rsidR="00ED3868" w:rsidRPr="0061493F">
              <w:rPr>
                <w:rFonts w:cs="Arial"/>
              </w:rPr>
              <w:t xml:space="preserve"> are not being completed</w:t>
            </w:r>
            <w:r w:rsidRPr="0061493F">
              <w:rPr>
                <w:rFonts w:cs="Arial"/>
              </w:rPr>
              <w:t xml:space="preserve"> </w:t>
            </w:r>
            <w:r w:rsidR="008B4A64" w:rsidRPr="0061493F">
              <w:rPr>
                <w:rFonts w:cs="Arial"/>
              </w:rPr>
              <w:t>prior to an individual’s engagement to undertake work at the school</w:t>
            </w:r>
            <w:r w:rsidRPr="0061493F">
              <w:rPr>
                <w:rFonts w:cs="Arial"/>
              </w:rPr>
              <w:t>.</w:t>
            </w:r>
          </w:p>
        </w:tc>
        <w:tc>
          <w:tcPr>
            <w:tcW w:w="7351" w:type="dxa"/>
            <w:shd w:val="clear" w:color="auto" w:fill="auto"/>
          </w:tcPr>
          <w:p w14:paraId="77B85FB6" w14:textId="77777777" w:rsidR="00896867" w:rsidRPr="0061493F" w:rsidRDefault="00896867" w:rsidP="0061493F">
            <w:pPr>
              <w:pStyle w:val="Default"/>
            </w:pPr>
            <w:r w:rsidRPr="0061493F">
              <w:t>Non-compliance with tax regulations.</w:t>
            </w:r>
          </w:p>
          <w:p w14:paraId="6E274D05" w14:textId="77777777" w:rsidR="00896867" w:rsidRPr="0061493F" w:rsidRDefault="00896867" w:rsidP="0061493F">
            <w:pPr>
              <w:pStyle w:val="Default"/>
            </w:pPr>
          </w:p>
          <w:p w14:paraId="03446A61" w14:textId="77777777" w:rsidR="005E5950" w:rsidRPr="0061493F" w:rsidRDefault="00896867" w:rsidP="0061493F">
            <w:pPr>
              <w:pStyle w:val="Default"/>
            </w:pPr>
            <w:r w:rsidRPr="0061493F">
              <w:t>Potential financial penalties against the school.</w:t>
            </w:r>
          </w:p>
          <w:p w14:paraId="197E2692" w14:textId="7CCB02C0" w:rsidR="00896867" w:rsidRPr="0061493F" w:rsidRDefault="00896867" w:rsidP="0061493F">
            <w:pPr>
              <w:pStyle w:val="Default"/>
            </w:pPr>
          </w:p>
        </w:tc>
      </w:tr>
      <w:tr w:rsidR="00F06C14" w:rsidRPr="002B7213" w14:paraId="35030838" w14:textId="77777777" w:rsidTr="00A85AD7">
        <w:trPr>
          <w:cantSplit/>
          <w:trHeight w:val="274"/>
        </w:trPr>
        <w:tc>
          <w:tcPr>
            <w:tcW w:w="7279" w:type="dxa"/>
            <w:shd w:val="clear" w:color="auto" w:fill="auto"/>
          </w:tcPr>
          <w:p w14:paraId="0859DAB0" w14:textId="0D7EB64E" w:rsidR="00E31208" w:rsidRPr="00B34824" w:rsidRDefault="000A4B9C" w:rsidP="00F22891">
            <w:pPr>
              <w:rPr>
                <w:rFonts w:cs="Arial"/>
              </w:rPr>
            </w:pPr>
            <w:r w:rsidRPr="00B34824">
              <w:rPr>
                <w:rFonts w:cs="Arial"/>
              </w:rPr>
              <w:lastRenderedPageBreak/>
              <w:t>Payment of i</w:t>
            </w:r>
            <w:r w:rsidR="00E31208" w:rsidRPr="00B34824">
              <w:rPr>
                <w:rFonts w:cs="Arial"/>
              </w:rPr>
              <w:t>nvoices:</w:t>
            </w:r>
          </w:p>
          <w:p w14:paraId="67F47343" w14:textId="1E7FF97D" w:rsidR="00F36696" w:rsidRPr="00B34824" w:rsidRDefault="00F36696" w:rsidP="00B34824">
            <w:pPr>
              <w:pStyle w:val="ListParagraph"/>
              <w:numPr>
                <w:ilvl w:val="0"/>
                <w:numId w:val="54"/>
              </w:numPr>
              <w:ind w:left="284" w:hanging="284"/>
              <w:rPr>
                <w:rFonts w:cs="Arial"/>
              </w:rPr>
            </w:pPr>
            <w:r w:rsidRPr="00B34824">
              <w:rPr>
                <w:rFonts w:cs="Arial"/>
              </w:rPr>
              <w:t>The cer</w:t>
            </w:r>
            <w:r w:rsidR="00ED5A6E" w:rsidRPr="00B34824">
              <w:rPr>
                <w:rFonts w:cs="Arial"/>
              </w:rPr>
              <w:t>ti</w:t>
            </w:r>
            <w:r w:rsidRPr="00B34824">
              <w:rPr>
                <w:rFonts w:cs="Arial"/>
              </w:rPr>
              <w:t xml:space="preserve">fication stamp was not being </w:t>
            </w:r>
            <w:r w:rsidR="00D02465" w:rsidRPr="00B34824">
              <w:rPr>
                <w:rFonts w:cs="Arial"/>
              </w:rPr>
              <w:t>correctly completed on the invoices</w:t>
            </w:r>
            <w:r w:rsidR="00DC6911" w:rsidRPr="00B34824">
              <w:rPr>
                <w:rFonts w:cs="Arial"/>
              </w:rPr>
              <w:t>;</w:t>
            </w:r>
          </w:p>
          <w:p w14:paraId="306C24CF" w14:textId="54C746EE" w:rsidR="0037259E" w:rsidRPr="00B34824" w:rsidRDefault="00AE262A" w:rsidP="00B34824">
            <w:pPr>
              <w:pStyle w:val="ListParagraph"/>
              <w:numPr>
                <w:ilvl w:val="0"/>
                <w:numId w:val="54"/>
              </w:numPr>
              <w:ind w:left="284" w:hanging="284"/>
              <w:rPr>
                <w:rFonts w:cs="Arial"/>
              </w:rPr>
            </w:pPr>
            <w:r w:rsidRPr="00B34824">
              <w:rPr>
                <w:rFonts w:cs="Arial"/>
              </w:rPr>
              <w:t>The Headteacher does not check the Payment Authorisation Control Listing (PACL)</w:t>
            </w:r>
            <w:r w:rsidR="00A972A4" w:rsidRPr="00B34824">
              <w:rPr>
                <w:rFonts w:cs="Arial"/>
              </w:rPr>
              <w:t xml:space="preserve"> entries against the invoices</w:t>
            </w:r>
            <w:r w:rsidR="000A4B9C" w:rsidRPr="00B34824">
              <w:rPr>
                <w:rFonts w:cs="Arial"/>
              </w:rPr>
              <w:t>;</w:t>
            </w:r>
          </w:p>
          <w:p w14:paraId="34FB60D3" w14:textId="103CF72B" w:rsidR="00770171" w:rsidRPr="00B34824" w:rsidRDefault="00A972A4" w:rsidP="00B34824">
            <w:pPr>
              <w:pStyle w:val="ListParagraph"/>
              <w:numPr>
                <w:ilvl w:val="0"/>
                <w:numId w:val="54"/>
              </w:numPr>
              <w:ind w:left="284" w:hanging="284"/>
              <w:rPr>
                <w:rFonts w:cs="Arial"/>
              </w:rPr>
            </w:pPr>
            <w:r w:rsidRPr="00B34824">
              <w:rPr>
                <w:rFonts w:cs="Arial"/>
              </w:rPr>
              <w:t>The Batch Processing Report (BPR) is not reconciled to the PACL</w:t>
            </w:r>
            <w:r w:rsidR="000C1AB3" w:rsidRPr="00B34824">
              <w:rPr>
                <w:rFonts w:cs="Arial"/>
              </w:rPr>
              <w:t xml:space="preserve"> by the Headteacher</w:t>
            </w:r>
            <w:r w:rsidR="000A4B9C" w:rsidRPr="00B34824">
              <w:rPr>
                <w:rFonts w:cs="Arial"/>
              </w:rPr>
              <w:t>; and</w:t>
            </w:r>
          </w:p>
          <w:p w14:paraId="449FEDD7" w14:textId="77777777" w:rsidR="003C6B61" w:rsidRPr="00B34824" w:rsidRDefault="00770171" w:rsidP="00B34824">
            <w:pPr>
              <w:pStyle w:val="ListParagraph"/>
              <w:numPr>
                <w:ilvl w:val="0"/>
                <w:numId w:val="54"/>
              </w:numPr>
              <w:ind w:left="284" w:hanging="284"/>
              <w:rPr>
                <w:rFonts w:cs="Arial"/>
              </w:rPr>
            </w:pPr>
            <w:r w:rsidRPr="00B34824">
              <w:rPr>
                <w:rFonts w:cs="Arial"/>
              </w:rPr>
              <w:t>The PACL and BPR are not signed or dated as evidence of the checks.</w:t>
            </w:r>
          </w:p>
          <w:p w14:paraId="109CBAAC" w14:textId="59345638" w:rsidR="008A47C4" w:rsidRPr="00B34824" w:rsidRDefault="008A47C4" w:rsidP="00F22891">
            <w:pPr>
              <w:rPr>
                <w:rFonts w:cs="Arial"/>
              </w:rPr>
            </w:pPr>
          </w:p>
        </w:tc>
        <w:tc>
          <w:tcPr>
            <w:tcW w:w="7351" w:type="dxa"/>
            <w:shd w:val="clear" w:color="auto" w:fill="auto"/>
          </w:tcPr>
          <w:p w14:paraId="0BD79B8B" w14:textId="77777777" w:rsidR="0037259E" w:rsidRPr="00B34824" w:rsidRDefault="003C6B61" w:rsidP="00B34824">
            <w:pPr>
              <w:pStyle w:val="Default"/>
            </w:pPr>
            <w:r w:rsidRPr="00B34824">
              <w:t>Unauthorised payments may be made.</w:t>
            </w:r>
          </w:p>
          <w:p w14:paraId="0CE01A20" w14:textId="77777777" w:rsidR="0057772C" w:rsidRPr="00B34824" w:rsidRDefault="0057772C" w:rsidP="00B34824">
            <w:pPr>
              <w:pStyle w:val="Default"/>
            </w:pPr>
          </w:p>
          <w:p w14:paraId="29EFBB54" w14:textId="77777777" w:rsidR="0057772C" w:rsidRPr="00B34824" w:rsidRDefault="0057772C" w:rsidP="00B34824">
            <w:pPr>
              <w:pStyle w:val="Default"/>
            </w:pPr>
            <w:r w:rsidRPr="00B34824">
              <w:t>Potential fraud and irregularity.</w:t>
            </w:r>
          </w:p>
          <w:p w14:paraId="27D9A7E6" w14:textId="77777777" w:rsidR="0057772C" w:rsidRPr="00B34824" w:rsidRDefault="0057772C" w:rsidP="00B34824">
            <w:pPr>
              <w:pStyle w:val="Default"/>
            </w:pPr>
          </w:p>
          <w:p w14:paraId="67B20F54" w14:textId="4CBCC707" w:rsidR="0057772C" w:rsidRPr="00B34824" w:rsidRDefault="0057772C" w:rsidP="00B34824">
            <w:pPr>
              <w:pStyle w:val="Default"/>
            </w:pPr>
            <w:r w:rsidRPr="00B34824">
              <w:t>Errors or changes will not be picked up.</w:t>
            </w:r>
          </w:p>
        </w:tc>
      </w:tr>
      <w:tr w:rsidR="00F06C14" w:rsidRPr="002B7213" w14:paraId="17985BA1" w14:textId="77777777" w:rsidTr="00A85AD7">
        <w:trPr>
          <w:trHeight w:val="274"/>
        </w:trPr>
        <w:tc>
          <w:tcPr>
            <w:tcW w:w="7279" w:type="dxa"/>
            <w:shd w:val="clear" w:color="auto" w:fill="auto"/>
          </w:tcPr>
          <w:p w14:paraId="2EC18035" w14:textId="7DA2F492" w:rsidR="00790304" w:rsidRPr="00B34824" w:rsidRDefault="00FC7DE7" w:rsidP="00790304">
            <w:pPr>
              <w:rPr>
                <w:rFonts w:cs="Arial"/>
              </w:rPr>
            </w:pPr>
            <w:r w:rsidRPr="00B34824">
              <w:rPr>
                <w:rFonts w:cs="Arial"/>
              </w:rPr>
              <w:t>The</w:t>
            </w:r>
            <w:r w:rsidR="005B3737" w:rsidRPr="00B34824">
              <w:rPr>
                <w:rFonts w:cs="Arial"/>
              </w:rPr>
              <w:t xml:space="preserve">re </w:t>
            </w:r>
            <w:r w:rsidR="00F86E6A" w:rsidRPr="00B34824">
              <w:rPr>
                <w:rFonts w:cs="Arial"/>
              </w:rPr>
              <w:t xml:space="preserve">is no </w:t>
            </w:r>
            <w:r w:rsidR="005B3737" w:rsidRPr="00B34824">
              <w:rPr>
                <w:rFonts w:cs="Arial"/>
              </w:rPr>
              <w:t>C</w:t>
            </w:r>
            <w:r w:rsidRPr="00B34824">
              <w:rPr>
                <w:rFonts w:cs="Arial"/>
              </w:rPr>
              <w:t>ontract Register</w:t>
            </w:r>
            <w:r w:rsidR="00933680" w:rsidRPr="00B34824">
              <w:rPr>
                <w:rFonts w:cs="Arial"/>
              </w:rPr>
              <w:t xml:space="preserve"> to </w:t>
            </w:r>
            <w:r w:rsidRPr="00B34824">
              <w:rPr>
                <w:rFonts w:cs="Arial"/>
              </w:rPr>
              <w:t>support robust contract management.</w:t>
            </w:r>
          </w:p>
        </w:tc>
        <w:tc>
          <w:tcPr>
            <w:tcW w:w="7351" w:type="dxa"/>
            <w:shd w:val="clear" w:color="auto" w:fill="auto"/>
          </w:tcPr>
          <w:p w14:paraId="07DAE3C1" w14:textId="77777777" w:rsidR="002201D4" w:rsidRPr="00B34824" w:rsidRDefault="002201D4" w:rsidP="00B34824">
            <w:pPr>
              <w:pStyle w:val="ListParagraph"/>
              <w:ind w:left="0"/>
            </w:pPr>
            <w:r w:rsidRPr="00B34824">
              <w:t>Ineffective management of contracts.</w:t>
            </w:r>
          </w:p>
          <w:p w14:paraId="46E540D3" w14:textId="77777777" w:rsidR="002201D4" w:rsidRPr="00B34824" w:rsidRDefault="002201D4" w:rsidP="00B34824">
            <w:pPr>
              <w:pStyle w:val="ListParagraph"/>
              <w:ind w:left="0"/>
            </w:pPr>
          </w:p>
          <w:p w14:paraId="6E0B1526" w14:textId="73600D25" w:rsidR="00FC7DE7" w:rsidRPr="00B34824" w:rsidRDefault="00FC7DE7" w:rsidP="00B34824">
            <w:pPr>
              <w:pStyle w:val="ListParagraph"/>
              <w:ind w:left="0"/>
            </w:pPr>
            <w:r w:rsidRPr="00B34824">
              <w:t>Value for money not achieved</w:t>
            </w:r>
            <w:r w:rsidR="006E76C5" w:rsidRPr="00B34824">
              <w:t>.</w:t>
            </w:r>
          </w:p>
          <w:p w14:paraId="552F2295" w14:textId="77777777" w:rsidR="006E76C5" w:rsidRPr="00B34824" w:rsidRDefault="006E76C5" w:rsidP="00B34824">
            <w:pPr>
              <w:pStyle w:val="ListParagraph"/>
              <w:ind w:left="0"/>
            </w:pPr>
          </w:p>
          <w:p w14:paraId="1DDB9BC7" w14:textId="0C4E875F" w:rsidR="00FC7DE7" w:rsidRPr="00B34824" w:rsidRDefault="00FC7DE7" w:rsidP="00B34824">
            <w:pPr>
              <w:pStyle w:val="ListParagraph"/>
              <w:ind w:left="0"/>
            </w:pPr>
            <w:r w:rsidRPr="00B34824">
              <w:t>Termination fees may be incurred if a contract is not terminated within the notice perio</w:t>
            </w:r>
            <w:r w:rsidR="00C8422E" w:rsidRPr="00B34824">
              <w:t>d</w:t>
            </w:r>
            <w:r w:rsidR="006E76C5" w:rsidRPr="00B34824">
              <w:t>.</w:t>
            </w:r>
          </w:p>
          <w:p w14:paraId="50604087" w14:textId="69312815" w:rsidR="00C8422E" w:rsidRPr="00B34824" w:rsidRDefault="00C8422E" w:rsidP="00B34824"/>
        </w:tc>
      </w:tr>
      <w:tr w:rsidR="00F06C14" w:rsidRPr="002B7213" w14:paraId="4127A967" w14:textId="77777777" w:rsidTr="00A85AD7">
        <w:trPr>
          <w:trHeight w:val="274"/>
        </w:trPr>
        <w:tc>
          <w:tcPr>
            <w:tcW w:w="7279" w:type="dxa"/>
            <w:shd w:val="clear" w:color="auto" w:fill="auto"/>
          </w:tcPr>
          <w:p w14:paraId="20C715DC" w14:textId="27517E25" w:rsidR="00BD55CA" w:rsidRPr="00B34824" w:rsidRDefault="00BD55CA" w:rsidP="00BD55CA">
            <w:pPr>
              <w:rPr>
                <w:rFonts w:cs="Arial"/>
                <w:color w:val="000000"/>
              </w:rPr>
            </w:pPr>
            <w:r w:rsidRPr="00B34824">
              <w:rPr>
                <w:rFonts w:cs="Arial"/>
                <w:color w:val="000000"/>
              </w:rPr>
              <w:t>There is no separation of duties between processing payments using the debit card and reconciling the bank statements.</w:t>
            </w:r>
          </w:p>
          <w:p w14:paraId="68F48D4E" w14:textId="77777777" w:rsidR="001C33C1" w:rsidRPr="00B34824" w:rsidRDefault="001C33C1" w:rsidP="00EA5717">
            <w:pPr>
              <w:rPr>
                <w:rFonts w:cs="Arial"/>
              </w:rPr>
            </w:pPr>
          </w:p>
        </w:tc>
        <w:tc>
          <w:tcPr>
            <w:tcW w:w="7351" w:type="dxa"/>
            <w:shd w:val="clear" w:color="auto" w:fill="auto"/>
          </w:tcPr>
          <w:p w14:paraId="08DDD456" w14:textId="52D09784" w:rsidR="001C33C1" w:rsidRPr="00B34824" w:rsidRDefault="00BD55CA" w:rsidP="00B34824">
            <w:pPr>
              <w:pStyle w:val="ListParagraph"/>
              <w:ind w:left="0"/>
            </w:pPr>
            <w:r w:rsidRPr="00B34824">
              <w:t>Opportunity for fraud.</w:t>
            </w:r>
          </w:p>
        </w:tc>
      </w:tr>
      <w:tr w:rsidR="00DD69FA" w:rsidRPr="002B7213" w14:paraId="372A8B6E" w14:textId="77777777" w:rsidTr="00A85AD7">
        <w:trPr>
          <w:trHeight w:val="274"/>
        </w:trPr>
        <w:tc>
          <w:tcPr>
            <w:tcW w:w="7279" w:type="dxa"/>
            <w:shd w:val="clear" w:color="auto" w:fill="auto"/>
          </w:tcPr>
          <w:p w14:paraId="6059D1B5" w14:textId="77777777" w:rsidR="00DD69FA" w:rsidRPr="00B34824" w:rsidRDefault="00E5650A" w:rsidP="00BD55CA">
            <w:pPr>
              <w:rPr>
                <w:rFonts w:cs="Arial"/>
                <w:color w:val="000000"/>
              </w:rPr>
            </w:pPr>
            <w:r w:rsidRPr="00B34824">
              <w:rPr>
                <w:rFonts w:cs="Arial"/>
                <w:color w:val="000000"/>
              </w:rPr>
              <w:t xml:space="preserve">A personal loyalty card was used to </w:t>
            </w:r>
            <w:r w:rsidR="004B416D" w:rsidRPr="00B34824">
              <w:rPr>
                <w:rFonts w:cs="Arial"/>
                <w:color w:val="000000"/>
              </w:rPr>
              <w:t>gain rew</w:t>
            </w:r>
            <w:r w:rsidR="000E71BE" w:rsidRPr="00B34824">
              <w:rPr>
                <w:rFonts w:cs="Arial"/>
                <w:color w:val="000000"/>
              </w:rPr>
              <w:t>ard points when purchasing items for the school.</w:t>
            </w:r>
          </w:p>
          <w:p w14:paraId="746628BB" w14:textId="5A76DB95" w:rsidR="000E71BE" w:rsidRPr="00B34824" w:rsidRDefault="000E71BE" w:rsidP="00BD55CA">
            <w:pPr>
              <w:rPr>
                <w:rFonts w:cs="Arial"/>
                <w:color w:val="000000"/>
              </w:rPr>
            </w:pPr>
          </w:p>
        </w:tc>
        <w:tc>
          <w:tcPr>
            <w:tcW w:w="7351" w:type="dxa"/>
            <w:shd w:val="clear" w:color="auto" w:fill="auto"/>
          </w:tcPr>
          <w:p w14:paraId="0E358B38" w14:textId="5A453C2F" w:rsidR="00DD69FA" w:rsidRPr="00B34824" w:rsidRDefault="000E71BE" w:rsidP="00B34824">
            <w:pPr>
              <w:pStyle w:val="ListParagraph"/>
              <w:ind w:left="0"/>
            </w:pPr>
            <w:r w:rsidRPr="00B34824">
              <w:t xml:space="preserve">Potential of misuse </w:t>
            </w:r>
            <w:r w:rsidR="00681FD0" w:rsidRPr="00B34824">
              <w:t>as vouchers could be spent for personal gain.</w:t>
            </w:r>
          </w:p>
        </w:tc>
      </w:tr>
      <w:tr w:rsidR="00AF253E" w:rsidRPr="002B7213" w14:paraId="1465B2E7" w14:textId="77777777" w:rsidTr="00A85AD7">
        <w:tc>
          <w:tcPr>
            <w:tcW w:w="7279" w:type="dxa"/>
            <w:shd w:val="clear" w:color="auto" w:fill="auto"/>
          </w:tcPr>
          <w:p w14:paraId="32F8B25F" w14:textId="0620E058" w:rsidR="00AF253E" w:rsidRPr="00315B62" w:rsidRDefault="00F52FE9" w:rsidP="00271815">
            <w:pPr>
              <w:jc w:val="center"/>
              <w:rPr>
                <w:rFonts w:cs="Arial"/>
                <w:b/>
                <w:sz w:val="28"/>
                <w:szCs w:val="28"/>
              </w:rPr>
            </w:pPr>
            <w:r w:rsidRPr="00315B62">
              <w:rPr>
                <w:rFonts w:cs="Arial"/>
                <w:b/>
                <w:sz w:val="28"/>
                <w:szCs w:val="28"/>
              </w:rPr>
              <w:t>Staffing and Payroll</w:t>
            </w:r>
          </w:p>
          <w:p w14:paraId="09DFC646" w14:textId="2F8D3B62" w:rsidR="002B2A20" w:rsidRPr="00315B62" w:rsidRDefault="002B2A20" w:rsidP="00271815">
            <w:pPr>
              <w:jc w:val="center"/>
              <w:rPr>
                <w:rFonts w:cs="Arial"/>
                <w:b/>
                <w:sz w:val="22"/>
                <w:szCs w:val="22"/>
              </w:rPr>
            </w:pPr>
          </w:p>
        </w:tc>
        <w:tc>
          <w:tcPr>
            <w:tcW w:w="7351" w:type="dxa"/>
            <w:shd w:val="clear" w:color="auto" w:fill="auto"/>
          </w:tcPr>
          <w:p w14:paraId="68C62426" w14:textId="77777777" w:rsidR="00AF253E" w:rsidRPr="00315B62" w:rsidRDefault="00AF253E" w:rsidP="00AC6364">
            <w:pPr>
              <w:rPr>
                <w:rFonts w:cs="Arial"/>
                <w:sz w:val="20"/>
                <w:szCs w:val="20"/>
              </w:rPr>
            </w:pPr>
          </w:p>
        </w:tc>
      </w:tr>
      <w:tr w:rsidR="00AF253E" w:rsidRPr="002B7213" w14:paraId="666B2433" w14:textId="77777777" w:rsidTr="00A85AD7">
        <w:trPr>
          <w:trHeight w:val="805"/>
        </w:trPr>
        <w:tc>
          <w:tcPr>
            <w:tcW w:w="7279" w:type="dxa"/>
            <w:shd w:val="clear" w:color="auto" w:fill="auto"/>
          </w:tcPr>
          <w:p w14:paraId="329A3255" w14:textId="77777777" w:rsidR="00AF253E" w:rsidRPr="00E84CB7" w:rsidRDefault="001B5F1D" w:rsidP="00F3071B">
            <w:pPr>
              <w:rPr>
                <w:rFonts w:cs="Arial"/>
              </w:rPr>
            </w:pPr>
            <w:r w:rsidRPr="00E84CB7">
              <w:rPr>
                <w:rFonts w:cs="Arial"/>
              </w:rPr>
              <w:t>The process for submitting and approving claims is not robust</w:t>
            </w:r>
            <w:r w:rsidR="00754BB2" w:rsidRPr="00E84CB7">
              <w:rPr>
                <w:rFonts w:cs="Arial"/>
              </w:rPr>
              <w:t>:</w:t>
            </w:r>
          </w:p>
          <w:p w14:paraId="7C725295" w14:textId="3E43ACAB" w:rsidR="00543D1F" w:rsidRPr="00E84CB7" w:rsidRDefault="00E64CD4" w:rsidP="00E84CB7">
            <w:pPr>
              <w:pStyle w:val="ListParagraph"/>
              <w:numPr>
                <w:ilvl w:val="0"/>
                <w:numId w:val="55"/>
              </w:numPr>
              <w:ind w:left="284" w:hanging="284"/>
              <w:rPr>
                <w:rFonts w:cs="Arial"/>
                <w:color w:val="000000"/>
              </w:rPr>
            </w:pPr>
            <w:r w:rsidRPr="00E84CB7">
              <w:rPr>
                <w:rFonts w:cs="Arial"/>
                <w:color w:val="000000"/>
              </w:rPr>
              <w:t>The s</w:t>
            </w:r>
            <w:r w:rsidR="00930FE1" w:rsidRPr="00E84CB7">
              <w:rPr>
                <w:rFonts w:cs="Arial"/>
                <w:color w:val="000000"/>
              </w:rPr>
              <w:t>taff claim form did not include the requirement for it to be dated</w:t>
            </w:r>
            <w:r w:rsidRPr="00E84CB7">
              <w:rPr>
                <w:rFonts w:cs="Arial"/>
                <w:color w:val="000000"/>
              </w:rPr>
              <w:t>;</w:t>
            </w:r>
          </w:p>
          <w:p w14:paraId="6732FB67" w14:textId="5ACF9515" w:rsidR="00543D1F" w:rsidRPr="00E84CB7" w:rsidRDefault="00930FE1" w:rsidP="00E84CB7">
            <w:pPr>
              <w:pStyle w:val="ListParagraph"/>
              <w:numPr>
                <w:ilvl w:val="0"/>
                <w:numId w:val="55"/>
              </w:numPr>
              <w:ind w:left="284" w:hanging="284"/>
              <w:rPr>
                <w:rFonts w:cs="Arial"/>
                <w:color w:val="000000"/>
              </w:rPr>
            </w:pPr>
            <w:r w:rsidRPr="00E84CB7">
              <w:rPr>
                <w:rFonts w:cs="Arial"/>
                <w:color w:val="000000"/>
              </w:rPr>
              <w:t>Claim forms are returned to the claimant once they have been authorised</w:t>
            </w:r>
            <w:r w:rsidR="00E64CD4" w:rsidRPr="00E84CB7">
              <w:rPr>
                <w:rFonts w:cs="Arial"/>
                <w:color w:val="000000"/>
              </w:rPr>
              <w:t>;</w:t>
            </w:r>
          </w:p>
          <w:p w14:paraId="1B4EAFAA" w14:textId="7306EC95" w:rsidR="00E31EA6" w:rsidRPr="00E84CB7" w:rsidRDefault="00930FE1" w:rsidP="00E84CB7">
            <w:pPr>
              <w:pStyle w:val="ListParagraph"/>
              <w:numPr>
                <w:ilvl w:val="0"/>
                <w:numId w:val="55"/>
              </w:numPr>
              <w:ind w:left="284" w:hanging="284"/>
              <w:rPr>
                <w:rFonts w:cs="Arial"/>
                <w:color w:val="000000"/>
              </w:rPr>
            </w:pPr>
            <w:r w:rsidRPr="00E84CB7">
              <w:rPr>
                <w:rFonts w:cs="Arial"/>
                <w:color w:val="000000"/>
              </w:rPr>
              <w:t>A review of claim forms confirmed that not all of them had been completed correctly</w:t>
            </w:r>
            <w:r w:rsidR="00E64CD4" w:rsidRPr="00E84CB7">
              <w:rPr>
                <w:rFonts w:cs="Arial"/>
                <w:color w:val="000000"/>
              </w:rPr>
              <w:t>; and</w:t>
            </w:r>
          </w:p>
          <w:p w14:paraId="15B8BD8E" w14:textId="0831AF90" w:rsidR="00930FE1" w:rsidRPr="00E84CB7" w:rsidRDefault="00930FE1" w:rsidP="00E84CB7">
            <w:pPr>
              <w:pStyle w:val="ListParagraph"/>
              <w:numPr>
                <w:ilvl w:val="0"/>
                <w:numId w:val="55"/>
              </w:numPr>
              <w:ind w:left="284" w:hanging="284"/>
              <w:rPr>
                <w:rFonts w:cs="Arial"/>
                <w:color w:val="000000"/>
              </w:rPr>
            </w:pPr>
            <w:r w:rsidRPr="00E84CB7">
              <w:rPr>
                <w:rFonts w:cs="Arial"/>
                <w:color w:val="000000"/>
              </w:rPr>
              <w:lastRenderedPageBreak/>
              <w:t>The Headteacher does not compare the hardcopy claim form to</w:t>
            </w:r>
            <w:r w:rsidR="00E31EA6" w:rsidRPr="00E84CB7">
              <w:rPr>
                <w:rFonts w:cs="Arial"/>
                <w:color w:val="000000"/>
              </w:rPr>
              <w:t xml:space="preserve"> </w:t>
            </w:r>
            <w:r w:rsidRPr="00E84CB7">
              <w:rPr>
                <w:rFonts w:cs="Arial"/>
                <w:color w:val="000000"/>
              </w:rPr>
              <w:t>what they are authorising on e-forms.</w:t>
            </w:r>
          </w:p>
          <w:p w14:paraId="2B935A5B" w14:textId="3C974F56" w:rsidR="00930FE1" w:rsidRPr="00E84CB7" w:rsidRDefault="00930FE1" w:rsidP="008F48B6">
            <w:pPr>
              <w:rPr>
                <w:rFonts w:cs="Arial"/>
              </w:rPr>
            </w:pPr>
          </w:p>
        </w:tc>
        <w:tc>
          <w:tcPr>
            <w:tcW w:w="7351" w:type="dxa"/>
            <w:shd w:val="clear" w:color="auto" w:fill="auto"/>
          </w:tcPr>
          <w:p w14:paraId="55B3DF29" w14:textId="77777777" w:rsidR="00D61688" w:rsidRPr="00E84CB7" w:rsidRDefault="00C83BB1" w:rsidP="00E84CB7">
            <w:pPr>
              <w:pStyle w:val="ListParagraph"/>
              <w:ind w:left="0"/>
              <w:rPr>
                <w:rFonts w:cs="Arial"/>
              </w:rPr>
            </w:pPr>
            <w:r w:rsidRPr="00E84CB7">
              <w:rPr>
                <w:rFonts w:cs="Arial"/>
              </w:rPr>
              <w:lastRenderedPageBreak/>
              <w:t>Potential for fraud.</w:t>
            </w:r>
          </w:p>
          <w:p w14:paraId="3AA30F54" w14:textId="77777777" w:rsidR="00C83BB1" w:rsidRPr="00E84CB7" w:rsidRDefault="00C83BB1" w:rsidP="00E84CB7">
            <w:pPr>
              <w:pStyle w:val="ListParagraph"/>
              <w:ind w:left="0"/>
              <w:rPr>
                <w:rFonts w:cs="Arial"/>
              </w:rPr>
            </w:pPr>
          </w:p>
          <w:p w14:paraId="06041A21" w14:textId="6292384F" w:rsidR="00C83BB1" w:rsidRPr="00E84CB7" w:rsidRDefault="00C83BB1" w:rsidP="00E84CB7">
            <w:pPr>
              <w:pStyle w:val="ListParagraph"/>
              <w:ind w:left="0"/>
              <w:rPr>
                <w:rFonts w:cs="Arial"/>
              </w:rPr>
            </w:pPr>
            <w:r w:rsidRPr="00E84CB7">
              <w:rPr>
                <w:rFonts w:cs="Arial"/>
              </w:rPr>
              <w:t>Payment made for hours not worked.</w:t>
            </w:r>
          </w:p>
        </w:tc>
      </w:tr>
      <w:tr w:rsidR="00AF253E" w14:paraId="68FE06A6" w14:textId="77777777" w:rsidTr="00A85AD7">
        <w:trPr>
          <w:trHeight w:val="841"/>
        </w:trPr>
        <w:tc>
          <w:tcPr>
            <w:tcW w:w="7279" w:type="dxa"/>
            <w:shd w:val="clear" w:color="auto" w:fill="auto"/>
          </w:tcPr>
          <w:p w14:paraId="6FDFA818" w14:textId="279AFF36" w:rsidR="009056DF" w:rsidRPr="001E567F" w:rsidRDefault="00B774BB" w:rsidP="009765A3">
            <w:pPr>
              <w:rPr>
                <w:rFonts w:cs="Arial"/>
              </w:rPr>
            </w:pPr>
            <w:r w:rsidRPr="00E84CB7">
              <w:rPr>
                <w:rFonts w:cs="Arial"/>
              </w:rPr>
              <w:t xml:space="preserve">There is no evidence of review and signing of the </w:t>
            </w:r>
            <w:r w:rsidR="00B47345">
              <w:rPr>
                <w:rFonts w:cs="Arial"/>
              </w:rPr>
              <w:t xml:space="preserve">Payroll </w:t>
            </w:r>
            <w:r w:rsidR="00370678">
              <w:rPr>
                <w:rFonts w:cs="Arial"/>
              </w:rPr>
              <w:t>report (</w:t>
            </w:r>
            <w:r w:rsidRPr="001E567F">
              <w:rPr>
                <w:rFonts w:cs="Arial"/>
              </w:rPr>
              <w:t>PY14</w:t>
            </w:r>
            <w:r w:rsidR="00370678">
              <w:rPr>
                <w:rFonts w:cs="Arial"/>
              </w:rPr>
              <w:t>)</w:t>
            </w:r>
            <w:r w:rsidRPr="001E567F">
              <w:rPr>
                <w:rFonts w:cs="Arial"/>
              </w:rPr>
              <w:t xml:space="preserve"> by the Headteacher.</w:t>
            </w:r>
            <w:r w:rsidR="000971F4" w:rsidRPr="001E567F">
              <w:rPr>
                <w:rFonts w:cs="Arial"/>
              </w:rPr>
              <w:t xml:space="preserve">  The report </w:t>
            </w:r>
            <w:r w:rsidR="007A7D90" w:rsidRPr="001E567F">
              <w:rPr>
                <w:rFonts w:cs="Arial"/>
              </w:rPr>
              <w:t>is not</w:t>
            </w:r>
            <w:r w:rsidR="000971F4" w:rsidRPr="001E567F">
              <w:rPr>
                <w:rFonts w:cs="Arial"/>
              </w:rPr>
              <w:t xml:space="preserve"> checked against the </w:t>
            </w:r>
            <w:r w:rsidR="00265CBC">
              <w:rPr>
                <w:rFonts w:cs="Arial"/>
              </w:rPr>
              <w:t>Income and Expenditure report (</w:t>
            </w:r>
            <w:r w:rsidR="000971F4" w:rsidRPr="001E567F">
              <w:rPr>
                <w:rFonts w:cs="Arial"/>
              </w:rPr>
              <w:t>FMGL01</w:t>
            </w:r>
            <w:r w:rsidR="00265CBC">
              <w:rPr>
                <w:rFonts w:cs="Arial"/>
              </w:rPr>
              <w:t>)</w:t>
            </w:r>
            <w:r w:rsidR="000971F4" w:rsidRPr="001E567F">
              <w:rPr>
                <w:rFonts w:cs="Arial"/>
              </w:rPr>
              <w:t xml:space="preserve">, which should </w:t>
            </w:r>
            <w:r w:rsidR="00FF1372" w:rsidRPr="001E567F">
              <w:rPr>
                <w:rFonts w:cs="Arial"/>
              </w:rPr>
              <w:t xml:space="preserve">also </w:t>
            </w:r>
            <w:r w:rsidR="000971F4" w:rsidRPr="001E567F">
              <w:rPr>
                <w:rFonts w:cs="Arial"/>
              </w:rPr>
              <w:t>be signed by the Headteacher after their check.</w:t>
            </w:r>
            <w:r w:rsidR="00BA7D7B" w:rsidRPr="001E567F">
              <w:rPr>
                <w:rFonts w:cs="Arial"/>
              </w:rPr>
              <w:t xml:space="preserve">  Both documents should be dated</w:t>
            </w:r>
            <w:r w:rsidR="003C1C90" w:rsidRPr="001E567F">
              <w:rPr>
                <w:rFonts w:cs="Arial"/>
              </w:rPr>
              <w:t xml:space="preserve"> </w:t>
            </w:r>
            <w:r w:rsidR="009D0744" w:rsidRPr="001E567F">
              <w:rPr>
                <w:rFonts w:cs="Arial"/>
              </w:rPr>
              <w:t>after signing</w:t>
            </w:r>
            <w:r w:rsidR="00BA7D7B" w:rsidRPr="001E567F">
              <w:rPr>
                <w:rFonts w:cs="Arial"/>
              </w:rPr>
              <w:t>.</w:t>
            </w:r>
          </w:p>
        </w:tc>
        <w:tc>
          <w:tcPr>
            <w:tcW w:w="7351" w:type="dxa"/>
            <w:shd w:val="clear" w:color="auto" w:fill="auto"/>
          </w:tcPr>
          <w:p w14:paraId="0CD75149" w14:textId="77777777" w:rsidR="00FA5F41" w:rsidRPr="001E567F" w:rsidRDefault="00B774BB" w:rsidP="00E84CB7">
            <w:pPr>
              <w:pStyle w:val="ListParagraph"/>
              <w:ind w:left="0"/>
              <w:rPr>
                <w:rFonts w:cs="Arial"/>
              </w:rPr>
            </w:pPr>
            <w:r w:rsidRPr="001E567F">
              <w:rPr>
                <w:rFonts w:cs="Arial"/>
              </w:rPr>
              <w:t>Incorrect pay or ghost employees may not be identified</w:t>
            </w:r>
            <w:r w:rsidR="007338AA" w:rsidRPr="001E567F">
              <w:rPr>
                <w:rFonts w:cs="Arial"/>
              </w:rPr>
              <w:t>.</w:t>
            </w:r>
          </w:p>
          <w:p w14:paraId="6F8C1BAB" w14:textId="77777777" w:rsidR="007338AA" w:rsidRPr="001E567F" w:rsidRDefault="007338AA" w:rsidP="00E84CB7">
            <w:pPr>
              <w:pStyle w:val="ListParagraph"/>
              <w:ind w:left="0"/>
              <w:rPr>
                <w:rFonts w:cs="Arial"/>
              </w:rPr>
            </w:pPr>
          </w:p>
          <w:p w14:paraId="3C43A1B7" w14:textId="77777777" w:rsidR="007338AA" w:rsidRPr="001E567F" w:rsidRDefault="007338AA" w:rsidP="00E84CB7">
            <w:pPr>
              <w:pStyle w:val="ListParagraph"/>
              <w:ind w:left="0"/>
              <w:rPr>
                <w:rFonts w:cs="Arial"/>
              </w:rPr>
            </w:pPr>
            <w:r w:rsidRPr="001E567F">
              <w:rPr>
                <w:rFonts w:cs="Arial"/>
              </w:rPr>
              <w:t>Possibility of budget overspend.</w:t>
            </w:r>
          </w:p>
          <w:p w14:paraId="10490EF6" w14:textId="77777777" w:rsidR="007338AA" w:rsidRPr="001E567F" w:rsidRDefault="007338AA" w:rsidP="00E84CB7">
            <w:pPr>
              <w:pStyle w:val="ListParagraph"/>
              <w:ind w:left="0"/>
              <w:rPr>
                <w:rFonts w:cs="Arial"/>
              </w:rPr>
            </w:pPr>
          </w:p>
          <w:p w14:paraId="04B601D2" w14:textId="1EC0DDA3" w:rsidR="00CA338F" w:rsidRPr="001E567F" w:rsidRDefault="00CA338F" w:rsidP="00E84CB7">
            <w:pPr>
              <w:pStyle w:val="ListParagraph"/>
              <w:ind w:left="0"/>
              <w:rPr>
                <w:rFonts w:cs="Arial"/>
              </w:rPr>
            </w:pPr>
            <w:r w:rsidRPr="001E567F">
              <w:rPr>
                <w:rFonts w:cs="Arial"/>
              </w:rPr>
              <w:t>Potential for fraud.</w:t>
            </w:r>
          </w:p>
          <w:p w14:paraId="6A26AE6A" w14:textId="0445F98B" w:rsidR="00CA338F" w:rsidRPr="001E567F" w:rsidRDefault="00CA338F" w:rsidP="00E84CB7">
            <w:pPr>
              <w:pStyle w:val="ListParagraph"/>
              <w:ind w:left="0"/>
              <w:rPr>
                <w:rFonts w:cs="Arial"/>
              </w:rPr>
            </w:pPr>
          </w:p>
        </w:tc>
      </w:tr>
      <w:tr w:rsidR="00A5119F" w14:paraId="6C9FBA66" w14:textId="77777777" w:rsidTr="00A85AD7">
        <w:trPr>
          <w:trHeight w:val="841"/>
        </w:trPr>
        <w:tc>
          <w:tcPr>
            <w:tcW w:w="7279" w:type="dxa"/>
            <w:shd w:val="clear" w:color="auto" w:fill="auto"/>
          </w:tcPr>
          <w:p w14:paraId="27B7D518" w14:textId="77777777" w:rsidR="00A5119F" w:rsidRPr="001E567F" w:rsidRDefault="00A5119F" w:rsidP="00A5119F">
            <w:pPr>
              <w:rPr>
                <w:rFonts w:cs="Arial"/>
                <w:color w:val="000000"/>
              </w:rPr>
            </w:pPr>
            <w:r w:rsidRPr="001E567F">
              <w:rPr>
                <w:rFonts w:cs="Arial"/>
                <w:color w:val="000000"/>
              </w:rPr>
              <w:t>Personnel files are stored with pupil files, which need to be accessed at all times.</w:t>
            </w:r>
          </w:p>
          <w:p w14:paraId="0D50FA34" w14:textId="77777777" w:rsidR="009C53F6" w:rsidRPr="001E567F" w:rsidRDefault="009C53F6" w:rsidP="00A5119F">
            <w:pPr>
              <w:rPr>
                <w:rFonts w:cs="Arial"/>
                <w:color w:val="000000"/>
              </w:rPr>
            </w:pPr>
          </w:p>
          <w:p w14:paraId="7F1A0112" w14:textId="77777777" w:rsidR="00A5119F" w:rsidRPr="001E567F" w:rsidRDefault="00A5119F" w:rsidP="00A5119F">
            <w:pPr>
              <w:rPr>
                <w:rFonts w:cs="Arial"/>
                <w:color w:val="000000"/>
              </w:rPr>
            </w:pPr>
            <w:r w:rsidRPr="001E567F">
              <w:rPr>
                <w:rFonts w:cs="Arial"/>
                <w:color w:val="000000"/>
              </w:rPr>
              <w:t>Staff were not clear on the retention period for personnel files.</w:t>
            </w:r>
          </w:p>
          <w:p w14:paraId="6AA9A776" w14:textId="77777777" w:rsidR="00A5119F" w:rsidRPr="001E567F" w:rsidRDefault="00A5119F" w:rsidP="009765A3">
            <w:pPr>
              <w:rPr>
                <w:rFonts w:cs="Arial"/>
              </w:rPr>
            </w:pPr>
          </w:p>
          <w:p w14:paraId="0DAE4EE4" w14:textId="77777777" w:rsidR="00A5119F" w:rsidRPr="001E567F" w:rsidRDefault="004B75A0" w:rsidP="00C732BC">
            <w:pPr>
              <w:rPr>
                <w:rFonts w:cs="Arial"/>
                <w:color w:val="000000"/>
              </w:rPr>
            </w:pPr>
            <w:r w:rsidRPr="001E567F">
              <w:rPr>
                <w:rFonts w:cs="Arial"/>
                <w:color w:val="000000"/>
              </w:rPr>
              <w:t>A review of personnel files for a sample of recent starters highlighted that not all documentation was included.  The files had been signed off to confirm all required documents were in place.</w:t>
            </w:r>
          </w:p>
          <w:p w14:paraId="7F0CB711" w14:textId="40D8EC2A" w:rsidR="00E82B3C" w:rsidRPr="001E567F" w:rsidRDefault="00E82B3C" w:rsidP="00C732BC">
            <w:pPr>
              <w:rPr>
                <w:rFonts w:cs="Arial"/>
              </w:rPr>
            </w:pPr>
          </w:p>
        </w:tc>
        <w:tc>
          <w:tcPr>
            <w:tcW w:w="7351" w:type="dxa"/>
            <w:shd w:val="clear" w:color="auto" w:fill="auto"/>
          </w:tcPr>
          <w:p w14:paraId="769FDF05" w14:textId="77777777" w:rsidR="00A5119F" w:rsidRPr="001E567F" w:rsidRDefault="00CE4E08" w:rsidP="001E567F">
            <w:pPr>
              <w:pStyle w:val="ListParagraph"/>
              <w:ind w:left="0"/>
              <w:rPr>
                <w:rFonts w:cs="Arial"/>
              </w:rPr>
            </w:pPr>
            <w:r w:rsidRPr="001E567F">
              <w:rPr>
                <w:rFonts w:cs="Arial"/>
              </w:rPr>
              <w:t>Unauthorised access to staff information</w:t>
            </w:r>
            <w:r w:rsidR="00CC3814" w:rsidRPr="001E567F">
              <w:rPr>
                <w:rFonts w:cs="Arial"/>
              </w:rPr>
              <w:t>.</w:t>
            </w:r>
          </w:p>
          <w:p w14:paraId="04C3F36E" w14:textId="77777777" w:rsidR="00CC3814" w:rsidRPr="001E567F" w:rsidRDefault="00CC3814" w:rsidP="001E567F">
            <w:pPr>
              <w:pStyle w:val="ListParagraph"/>
              <w:ind w:left="0"/>
              <w:rPr>
                <w:rFonts w:cs="Arial"/>
              </w:rPr>
            </w:pPr>
          </w:p>
          <w:p w14:paraId="6A929322" w14:textId="77777777" w:rsidR="00CC3814" w:rsidRPr="001E567F" w:rsidRDefault="00CC3814" w:rsidP="001E567F">
            <w:pPr>
              <w:pStyle w:val="ListParagraph"/>
              <w:ind w:left="0"/>
              <w:rPr>
                <w:rFonts w:cs="Arial"/>
              </w:rPr>
            </w:pPr>
            <w:r w:rsidRPr="001E567F">
              <w:rPr>
                <w:rFonts w:cs="Arial"/>
              </w:rPr>
              <w:t>Non-compliance with statutory regulations.</w:t>
            </w:r>
          </w:p>
          <w:p w14:paraId="2ED8F3AB" w14:textId="77777777" w:rsidR="00CC3814" w:rsidRPr="001E567F" w:rsidRDefault="00CC3814" w:rsidP="001E567F">
            <w:pPr>
              <w:pStyle w:val="ListParagraph"/>
              <w:ind w:left="0"/>
              <w:rPr>
                <w:rFonts w:cs="Arial"/>
              </w:rPr>
            </w:pPr>
          </w:p>
          <w:p w14:paraId="25D80E0C" w14:textId="09832CEE" w:rsidR="00CC3814" w:rsidRPr="001E567F" w:rsidRDefault="00CC3814" w:rsidP="001E567F">
            <w:pPr>
              <w:pStyle w:val="ListParagraph"/>
              <w:ind w:left="0"/>
              <w:rPr>
                <w:rFonts w:cs="Arial"/>
              </w:rPr>
            </w:pPr>
            <w:r w:rsidRPr="001E567F">
              <w:rPr>
                <w:rFonts w:cs="Arial"/>
              </w:rPr>
              <w:t>Recruitment process not correctly followed.</w:t>
            </w:r>
          </w:p>
        </w:tc>
      </w:tr>
      <w:tr w:rsidR="004B75A0" w14:paraId="704E10C9" w14:textId="77777777" w:rsidTr="00A85AD7">
        <w:trPr>
          <w:trHeight w:val="567"/>
        </w:trPr>
        <w:tc>
          <w:tcPr>
            <w:tcW w:w="7279" w:type="dxa"/>
            <w:shd w:val="clear" w:color="auto" w:fill="auto"/>
          </w:tcPr>
          <w:p w14:paraId="23882695" w14:textId="3B90A588" w:rsidR="005C3A94" w:rsidRPr="008E10B3" w:rsidRDefault="002566A8" w:rsidP="005C3A94">
            <w:pPr>
              <w:rPr>
                <w:rFonts w:cs="Arial"/>
                <w:color w:val="000000"/>
              </w:rPr>
            </w:pPr>
            <w:r w:rsidRPr="001E567F">
              <w:rPr>
                <w:rFonts w:cs="Arial"/>
                <w:color w:val="000000"/>
              </w:rPr>
              <w:t>There is not a consistent or complete process for driver checks on staff who use their own vehicle for school business.</w:t>
            </w:r>
            <w:r w:rsidR="00D71919">
              <w:rPr>
                <w:rFonts w:cs="Arial"/>
                <w:color w:val="000000"/>
              </w:rPr>
              <w:t xml:space="preserve">  </w:t>
            </w:r>
            <w:r w:rsidR="003E1D66">
              <w:rPr>
                <w:rFonts w:cs="Arial"/>
                <w:color w:val="000000"/>
              </w:rPr>
              <w:t xml:space="preserve">On an annual basis, </w:t>
            </w:r>
            <w:r w:rsidR="00943CB5">
              <w:rPr>
                <w:rFonts w:cs="Arial"/>
                <w:color w:val="000000"/>
              </w:rPr>
              <w:t xml:space="preserve">the Headteacher should ensure </w:t>
            </w:r>
            <w:r w:rsidR="004C2CC6">
              <w:rPr>
                <w:rFonts w:cs="Arial"/>
                <w:color w:val="000000"/>
              </w:rPr>
              <w:t xml:space="preserve">that employees </w:t>
            </w:r>
            <w:r w:rsidR="0029522A">
              <w:rPr>
                <w:rFonts w:cs="Arial"/>
                <w:color w:val="000000"/>
              </w:rPr>
              <w:t xml:space="preserve">have a valid </w:t>
            </w:r>
            <w:r w:rsidR="007C69DE">
              <w:rPr>
                <w:rFonts w:cs="Arial"/>
                <w:color w:val="000000"/>
              </w:rPr>
              <w:t>driving licence</w:t>
            </w:r>
            <w:r w:rsidR="002C1CAB">
              <w:rPr>
                <w:rFonts w:cs="Arial"/>
                <w:color w:val="000000"/>
              </w:rPr>
              <w:t xml:space="preserve">, appropriate insurance cover for business use and that the </w:t>
            </w:r>
            <w:r w:rsidR="000522E9">
              <w:rPr>
                <w:rFonts w:cs="Arial"/>
                <w:color w:val="000000"/>
              </w:rPr>
              <w:t>vehicle is taxed and has an up-to-date MOT</w:t>
            </w:r>
            <w:r w:rsidR="00DC2630">
              <w:rPr>
                <w:rFonts w:cs="Arial"/>
                <w:color w:val="000000"/>
              </w:rPr>
              <w:t xml:space="preserve"> certificate</w:t>
            </w:r>
            <w:r w:rsidR="00AD66E0">
              <w:rPr>
                <w:rFonts w:cs="Arial"/>
                <w:color w:val="000000"/>
              </w:rPr>
              <w:t>.</w:t>
            </w:r>
          </w:p>
        </w:tc>
        <w:tc>
          <w:tcPr>
            <w:tcW w:w="7351" w:type="dxa"/>
            <w:shd w:val="clear" w:color="auto" w:fill="auto"/>
          </w:tcPr>
          <w:p w14:paraId="60E24B9C" w14:textId="77777777" w:rsidR="002468E2" w:rsidRPr="008E10B3" w:rsidRDefault="002468E2" w:rsidP="001E567F">
            <w:pPr>
              <w:pStyle w:val="ListParagraph"/>
              <w:ind w:left="0"/>
              <w:rPr>
                <w:rFonts w:cs="Arial"/>
              </w:rPr>
            </w:pPr>
            <w:r w:rsidRPr="008E10B3">
              <w:rPr>
                <w:rFonts w:cs="Arial"/>
              </w:rPr>
              <w:t>Potential claims following an accident could have to be met by the school.</w:t>
            </w:r>
          </w:p>
          <w:p w14:paraId="393CE5F1" w14:textId="647B77DC" w:rsidR="004B75A0" w:rsidRPr="008E10B3" w:rsidRDefault="002468E2" w:rsidP="001E567F">
            <w:pPr>
              <w:pStyle w:val="ListParagraph"/>
              <w:ind w:left="0"/>
              <w:rPr>
                <w:rFonts w:cs="Arial"/>
              </w:rPr>
            </w:pPr>
            <w:r w:rsidRPr="008E10B3">
              <w:rPr>
                <w:rFonts w:cs="Arial"/>
              </w:rPr>
              <w:t>Reputational risk to the school.</w:t>
            </w:r>
          </w:p>
        </w:tc>
      </w:tr>
      <w:tr w:rsidR="00CE0E23" w14:paraId="00B55DEB" w14:textId="77777777" w:rsidTr="00A85AD7">
        <w:trPr>
          <w:trHeight w:val="841"/>
        </w:trPr>
        <w:tc>
          <w:tcPr>
            <w:tcW w:w="7279" w:type="dxa"/>
            <w:shd w:val="clear" w:color="auto" w:fill="auto"/>
          </w:tcPr>
          <w:p w14:paraId="2D3066FE" w14:textId="77777777" w:rsidR="00CE0E23" w:rsidRPr="001E567F" w:rsidRDefault="002F5745" w:rsidP="009765A3">
            <w:pPr>
              <w:rPr>
                <w:rFonts w:cs="Arial"/>
              </w:rPr>
            </w:pPr>
            <w:r w:rsidRPr="001E567F">
              <w:rPr>
                <w:rFonts w:cs="Arial"/>
              </w:rPr>
              <w:t>The Pay Policy was not reviewed annually in line with the Government’s School Teachers’ Pay and Conditions document.</w:t>
            </w:r>
          </w:p>
          <w:p w14:paraId="5875666B" w14:textId="77777777" w:rsidR="002F5745" w:rsidRPr="001E567F" w:rsidRDefault="002F5745" w:rsidP="009765A3">
            <w:pPr>
              <w:rPr>
                <w:rFonts w:cs="Arial"/>
              </w:rPr>
            </w:pPr>
          </w:p>
          <w:p w14:paraId="7EA33215" w14:textId="77777777" w:rsidR="002D2FCA" w:rsidRPr="001E567F" w:rsidRDefault="002F5745" w:rsidP="00607427">
            <w:pPr>
              <w:rPr>
                <w:rFonts w:cs="Arial"/>
              </w:rPr>
            </w:pPr>
            <w:r w:rsidRPr="001E567F">
              <w:rPr>
                <w:rFonts w:cs="Arial"/>
              </w:rPr>
              <w:t xml:space="preserve">The Recruitment Policy </w:t>
            </w:r>
            <w:r w:rsidR="002D2FCA" w:rsidRPr="001E567F">
              <w:rPr>
                <w:rFonts w:cs="Arial"/>
              </w:rPr>
              <w:t xml:space="preserve">was not reviewed </w:t>
            </w:r>
            <w:r w:rsidR="008466C5" w:rsidRPr="001E567F">
              <w:rPr>
                <w:rFonts w:cs="Arial"/>
              </w:rPr>
              <w:t>in accordance with the documented timescale</w:t>
            </w:r>
            <w:r w:rsidR="002D2FCA" w:rsidRPr="001E567F">
              <w:rPr>
                <w:rFonts w:cs="Arial"/>
              </w:rPr>
              <w:t>.</w:t>
            </w:r>
          </w:p>
          <w:p w14:paraId="51508933" w14:textId="78C4271A" w:rsidR="00E82B3C" w:rsidRPr="001E567F" w:rsidRDefault="00E82B3C" w:rsidP="00607427">
            <w:pPr>
              <w:rPr>
                <w:rFonts w:cs="Arial"/>
              </w:rPr>
            </w:pPr>
          </w:p>
        </w:tc>
        <w:tc>
          <w:tcPr>
            <w:tcW w:w="7351" w:type="dxa"/>
            <w:shd w:val="clear" w:color="auto" w:fill="auto"/>
          </w:tcPr>
          <w:p w14:paraId="19AC43E5" w14:textId="14DD9A41" w:rsidR="00CE0E23" w:rsidRPr="001E567F" w:rsidRDefault="0092424A" w:rsidP="001E567F">
            <w:pPr>
              <w:rPr>
                <w:rFonts w:cs="Arial"/>
                <w:color w:val="000000"/>
              </w:rPr>
            </w:pPr>
            <w:r w:rsidRPr="001E567F">
              <w:rPr>
                <w:rFonts w:cs="Arial"/>
                <w:color w:val="000000"/>
              </w:rPr>
              <w:t>Out of date or inaccurate policies can lead to incorrect actions or decisions being taken.</w:t>
            </w:r>
          </w:p>
        </w:tc>
      </w:tr>
      <w:tr w:rsidR="00013D7D" w14:paraId="5BB777CD" w14:textId="77777777" w:rsidTr="00A85AD7">
        <w:trPr>
          <w:trHeight w:val="567"/>
        </w:trPr>
        <w:tc>
          <w:tcPr>
            <w:tcW w:w="7279" w:type="dxa"/>
          </w:tcPr>
          <w:p w14:paraId="2B47F411" w14:textId="683BA15B" w:rsidR="00013D7D" w:rsidRPr="00422DEE" w:rsidRDefault="00422DEE" w:rsidP="00CF5236">
            <w:pPr>
              <w:keepNext/>
              <w:jc w:val="center"/>
              <w:rPr>
                <w:rFonts w:cs="Arial"/>
                <w:b/>
                <w:bCs/>
                <w:sz w:val="28"/>
                <w:szCs w:val="28"/>
              </w:rPr>
            </w:pPr>
            <w:r w:rsidRPr="00422DEE">
              <w:rPr>
                <w:rFonts w:cs="Arial"/>
                <w:b/>
                <w:bCs/>
                <w:sz w:val="28"/>
                <w:szCs w:val="28"/>
              </w:rPr>
              <w:lastRenderedPageBreak/>
              <w:t>SEN Notional Budget</w:t>
            </w:r>
          </w:p>
        </w:tc>
        <w:tc>
          <w:tcPr>
            <w:tcW w:w="7351" w:type="dxa"/>
          </w:tcPr>
          <w:p w14:paraId="026AF14B" w14:textId="2A0FCBAC" w:rsidR="002A5215" w:rsidRPr="00FB6565" w:rsidRDefault="002A5215" w:rsidP="00CF5236">
            <w:pPr>
              <w:pStyle w:val="ListParagraph"/>
              <w:keepNext/>
              <w:ind w:left="0"/>
              <w:rPr>
                <w:rFonts w:cs="Arial"/>
                <w:sz w:val="28"/>
                <w:szCs w:val="28"/>
              </w:rPr>
            </w:pPr>
            <w:r w:rsidRPr="00FB6565">
              <w:rPr>
                <w:rFonts w:cs="Arial"/>
                <w:b/>
                <w:bCs/>
                <w:sz w:val="28"/>
                <w:szCs w:val="28"/>
              </w:rPr>
              <w:t>No recommendations were made in this area.</w:t>
            </w:r>
          </w:p>
        </w:tc>
      </w:tr>
    </w:tbl>
    <w:p w14:paraId="3CAD92DD" w14:textId="69E80A70" w:rsidR="000B4EA8" w:rsidRDefault="000B4EA8" w:rsidP="009765A3"/>
    <w:sectPr w:rsidR="000B4EA8" w:rsidSect="00B80E5E">
      <w:headerReference w:type="even" r:id="rId12"/>
      <w:headerReference w:type="default" r:id="rId13"/>
      <w:headerReference w:type="first" r:id="rId14"/>
      <w:pgSz w:w="16838" w:h="11906" w:orient="landscape"/>
      <w:pgMar w:top="1134" w:right="962"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9E10" w14:textId="77777777" w:rsidR="005508EC" w:rsidRDefault="005508EC" w:rsidP="004419D5">
      <w:r>
        <w:separator/>
      </w:r>
    </w:p>
  </w:endnote>
  <w:endnote w:type="continuationSeparator" w:id="0">
    <w:p w14:paraId="53991C47" w14:textId="77777777" w:rsidR="005508EC" w:rsidRDefault="005508EC" w:rsidP="0044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7826" w14:textId="77777777" w:rsidR="005508EC" w:rsidRDefault="005508EC" w:rsidP="004419D5">
      <w:r>
        <w:separator/>
      </w:r>
    </w:p>
  </w:footnote>
  <w:footnote w:type="continuationSeparator" w:id="0">
    <w:p w14:paraId="1274D5ED" w14:textId="77777777" w:rsidR="005508EC" w:rsidRDefault="005508EC" w:rsidP="0044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C9E7" w14:textId="6A4479CA" w:rsidR="00196E7E" w:rsidRDefault="00196E7E">
    <w:pPr>
      <w:pStyle w:val="Header"/>
    </w:pPr>
    <w:r>
      <w:rPr>
        <w:noProof/>
      </w:rPr>
      <mc:AlternateContent>
        <mc:Choice Requires="wps">
          <w:drawing>
            <wp:anchor distT="0" distB="0" distL="0" distR="0" simplePos="0" relativeHeight="251658241" behindDoc="0" locked="0" layoutInCell="1" allowOverlap="1" wp14:anchorId="600129BA" wp14:editId="76B539CB">
              <wp:simplePos x="635" y="635"/>
              <wp:positionH relativeFrom="page">
                <wp:align>left</wp:align>
              </wp:positionH>
              <wp:positionV relativeFrom="page">
                <wp:align>top</wp:align>
              </wp:positionV>
              <wp:extent cx="443865" cy="443865"/>
              <wp:effectExtent l="0" t="0" r="12065" b="16510"/>
              <wp:wrapNone/>
              <wp:docPr id="1270765393"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812E9" w14:textId="5A4A3322" w:rsidR="00196E7E" w:rsidRPr="00196E7E" w:rsidRDefault="00196E7E" w:rsidP="00196E7E">
                          <w:pPr>
                            <w:rPr>
                              <w:rFonts w:ascii="Calibri" w:eastAsia="Calibri" w:hAnsi="Calibri" w:cs="Calibri"/>
                              <w:noProof/>
                              <w:color w:val="000000"/>
                              <w:sz w:val="20"/>
                              <w:szCs w:val="20"/>
                            </w:rPr>
                          </w:pPr>
                          <w:r w:rsidRPr="00196E7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0129BA"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78812E9" w14:textId="5A4A3322" w:rsidR="00196E7E" w:rsidRPr="00196E7E" w:rsidRDefault="00196E7E" w:rsidP="00196E7E">
                    <w:pPr>
                      <w:rPr>
                        <w:rFonts w:ascii="Calibri" w:eastAsia="Calibri" w:hAnsi="Calibri" w:cs="Calibri"/>
                        <w:noProof/>
                        <w:color w:val="000000"/>
                        <w:sz w:val="20"/>
                        <w:szCs w:val="20"/>
                      </w:rPr>
                    </w:pPr>
                    <w:r w:rsidRPr="00196E7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6839" w14:textId="6E8626A5" w:rsidR="00196E7E" w:rsidRDefault="00196E7E">
    <w:pPr>
      <w:pStyle w:val="Header"/>
    </w:pPr>
    <w:r>
      <w:rPr>
        <w:noProof/>
      </w:rPr>
      <mc:AlternateContent>
        <mc:Choice Requires="wps">
          <w:drawing>
            <wp:anchor distT="0" distB="0" distL="0" distR="0" simplePos="0" relativeHeight="251658242" behindDoc="0" locked="0" layoutInCell="1" allowOverlap="1" wp14:anchorId="2B857C62" wp14:editId="7CD54412">
              <wp:simplePos x="914400" y="450850"/>
              <wp:positionH relativeFrom="page">
                <wp:align>left</wp:align>
              </wp:positionH>
              <wp:positionV relativeFrom="page">
                <wp:align>top</wp:align>
              </wp:positionV>
              <wp:extent cx="443865" cy="443865"/>
              <wp:effectExtent l="0" t="0" r="12065" b="16510"/>
              <wp:wrapNone/>
              <wp:docPr id="528379078"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47045" w14:textId="6733E360" w:rsidR="00196E7E" w:rsidRPr="00196E7E" w:rsidRDefault="00196E7E" w:rsidP="00196E7E">
                          <w:pPr>
                            <w:rPr>
                              <w:rFonts w:ascii="Calibri" w:eastAsia="Calibri" w:hAnsi="Calibri" w:cs="Calibri"/>
                              <w:noProof/>
                              <w:color w:val="000000"/>
                              <w:sz w:val="20"/>
                              <w:szCs w:val="20"/>
                            </w:rPr>
                          </w:pPr>
                          <w:r w:rsidRPr="00196E7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857C62"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B647045" w14:textId="6733E360" w:rsidR="00196E7E" w:rsidRPr="00196E7E" w:rsidRDefault="00196E7E" w:rsidP="00196E7E">
                    <w:pPr>
                      <w:rPr>
                        <w:rFonts w:ascii="Calibri" w:eastAsia="Calibri" w:hAnsi="Calibri" w:cs="Calibri"/>
                        <w:noProof/>
                        <w:color w:val="000000"/>
                        <w:sz w:val="20"/>
                        <w:szCs w:val="20"/>
                      </w:rPr>
                    </w:pPr>
                    <w:r w:rsidRPr="00196E7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A35F" w14:textId="2D444CCC" w:rsidR="00196E7E" w:rsidRDefault="00196E7E">
    <w:pPr>
      <w:pStyle w:val="Header"/>
    </w:pPr>
    <w:r>
      <w:rPr>
        <w:noProof/>
      </w:rPr>
      <mc:AlternateContent>
        <mc:Choice Requires="wps">
          <w:drawing>
            <wp:anchor distT="0" distB="0" distL="0" distR="0" simplePos="0" relativeHeight="251658240" behindDoc="0" locked="0" layoutInCell="1" allowOverlap="1" wp14:anchorId="3042F152" wp14:editId="68F4F0BE">
              <wp:simplePos x="635" y="635"/>
              <wp:positionH relativeFrom="page">
                <wp:align>left</wp:align>
              </wp:positionH>
              <wp:positionV relativeFrom="page">
                <wp:align>top</wp:align>
              </wp:positionV>
              <wp:extent cx="443865" cy="443865"/>
              <wp:effectExtent l="0" t="0" r="12065" b="16510"/>
              <wp:wrapNone/>
              <wp:docPr id="1521427360"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49E1D" w14:textId="6D627FA5" w:rsidR="00196E7E" w:rsidRPr="00196E7E" w:rsidRDefault="00196E7E" w:rsidP="00196E7E">
                          <w:pPr>
                            <w:rPr>
                              <w:rFonts w:ascii="Calibri" w:eastAsia="Calibri" w:hAnsi="Calibri" w:cs="Calibri"/>
                              <w:noProof/>
                              <w:color w:val="000000"/>
                              <w:sz w:val="20"/>
                              <w:szCs w:val="20"/>
                            </w:rPr>
                          </w:pPr>
                          <w:r w:rsidRPr="00196E7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42F152"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2F49E1D" w14:textId="6D627FA5" w:rsidR="00196E7E" w:rsidRPr="00196E7E" w:rsidRDefault="00196E7E" w:rsidP="00196E7E">
                    <w:pPr>
                      <w:rPr>
                        <w:rFonts w:ascii="Calibri" w:eastAsia="Calibri" w:hAnsi="Calibri" w:cs="Calibri"/>
                        <w:noProof/>
                        <w:color w:val="000000"/>
                        <w:sz w:val="20"/>
                        <w:szCs w:val="20"/>
                      </w:rPr>
                    </w:pPr>
                    <w:r w:rsidRPr="00196E7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04F"/>
    <w:multiLevelType w:val="hybridMultilevel"/>
    <w:tmpl w:val="EBE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7F95"/>
    <w:multiLevelType w:val="hybridMultilevel"/>
    <w:tmpl w:val="415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D74B5"/>
    <w:multiLevelType w:val="hybridMultilevel"/>
    <w:tmpl w:val="1898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94342"/>
    <w:multiLevelType w:val="hybridMultilevel"/>
    <w:tmpl w:val="583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A6F42"/>
    <w:multiLevelType w:val="hybridMultilevel"/>
    <w:tmpl w:val="180E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77E83"/>
    <w:multiLevelType w:val="hybridMultilevel"/>
    <w:tmpl w:val="5832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4663D"/>
    <w:multiLevelType w:val="hybridMultilevel"/>
    <w:tmpl w:val="F24AC5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B13CBD"/>
    <w:multiLevelType w:val="hybridMultilevel"/>
    <w:tmpl w:val="6B6A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E85C95"/>
    <w:multiLevelType w:val="hybridMultilevel"/>
    <w:tmpl w:val="0B9265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FC3821"/>
    <w:multiLevelType w:val="hybridMultilevel"/>
    <w:tmpl w:val="1AE0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3E6B91"/>
    <w:multiLevelType w:val="hybridMultilevel"/>
    <w:tmpl w:val="DB08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91F29"/>
    <w:multiLevelType w:val="hybridMultilevel"/>
    <w:tmpl w:val="509E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E16D61"/>
    <w:multiLevelType w:val="hybridMultilevel"/>
    <w:tmpl w:val="F03E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364B7"/>
    <w:multiLevelType w:val="hybridMultilevel"/>
    <w:tmpl w:val="0FF0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AF23A5"/>
    <w:multiLevelType w:val="hybridMultilevel"/>
    <w:tmpl w:val="6AE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AC07BE"/>
    <w:multiLevelType w:val="hybridMultilevel"/>
    <w:tmpl w:val="8D4AE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44E2335"/>
    <w:multiLevelType w:val="hybridMultilevel"/>
    <w:tmpl w:val="2AF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F6D8D"/>
    <w:multiLevelType w:val="hybridMultilevel"/>
    <w:tmpl w:val="2772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9068C"/>
    <w:multiLevelType w:val="hybridMultilevel"/>
    <w:tmpl w:val="BF38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DB6F7A"/>
    <w:multiLevelType w:val="hybridMultilevel"/>
    <w:tmpl w:val="BA84D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90037D8"/>
    <w:multiLevelType w:val="hybridMultilevel"/>
    <w:tmpl w:val="25F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99585E"/>
    <w:multiLevelType w:val="hybridMultilevel"/>
    <w:tmpl w:val="C71C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732FE8"/>
    <w:multiLevelType w:val="hybridMultilevel"/>
    <w:tmpl w:val="0906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022B97"/>
    <w:multiLevelType w:val="hybridMultilevel"/>
    <w:tmpl w:val="549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3F29A9"/>
    <w:multiLevelType w:val="hybridMultilevel"/>
    <w:tmpl w:val="FAD4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E26D1"/>
    <w:multiLevelType w:val="hybridMultilevel"/>
    <w:tmpl w:val="D5DA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77F7C"/>
    <w:multiLevelType w:val="hybridMultilevel"/>
    <w:tmpl w:val="1A64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9B47CF"/>
    <w:multiLevelType w:val="hybridMultilevel"/>
    <w:tmpl w:val="24B8EF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C53FFF"/>
    <w:multiLevelType w:val="hybridMultilevel"/>
    <w:tmpl w:val="9898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A827CD"/>
    <w:multiLevelType w:val="hybridMultilevel"/>
    <w:tmpl w:val="5EB4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1A1CD9"/>
    <w:multiLevelType w:val="hybridMultilevel"/>
    <w:tmpl w:val="E11EF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8914FB6"/>
    <w:multiLevelType w:val="hybridMultilevel"/>
    <w:tmpl w:val="7F24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E5348B"/>
    <w:multiLevelType w:val="hybridMultilevel"/>
    <w:tmpl w:val="C820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276BD5"/>
    <w:multiLevelType w:val="hybridMultilevel"/>
    <w:tmpl w:val="4B38F9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3D1AF6"/>
    <w:multiLevelType w:val="hybridMultilevel"/>
    <w:tmpl w:val="2A24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C4609"/>
    <w:multiLevelType w:val="hybridMultilevel"/>
    <w:tmpl w:val="D3C4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FD7C43"/>
    <w:multiLevelType w:val="hybridMultilevel"/>
    <w:tmpl w:val="ED56B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69C107A"/>
    <w:multiLevelType w:val="hybridMultilevel"/>
    <w:tmpl w:val="906288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5B4210"/>
    <w:multiLevelType w:val="hybridMultilevel"/>
    <w:tmpl w:val="05FA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054EB2"/>
    <w:multiLevelType w:val="hybridMultilevel"/>
    <w:tmpl w:val="C8EA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301F5A"/>
    <w:multiLevelType w:val="hybridMultilevel"/>
    <w:tmpl w:val="1E54FE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EF4D99"/>
    <w:multiLevelType w:val="hybridMultilevel"/>
    <w:tmpl w:val="55A6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B4D58"/>
    <w:multiLevelType w:val="hybridMultilevel"/>
    <w:tmpl w:val="DDAC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FE084C"/>
    <w:multiLevelType w:val="hybridMultilevel"/>
    <w:tmpl w:val="8EB0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650F2B"/>
    <w:multiLevelType w:val="hybridMultilevel"/>
    <w:tmpl w:val="3FD0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BF0509"/>
    <w:multiLevelType w:val="hybridMultilevel"/>
    <w:tmpl w:val="725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BC4606"/>
    <w:multiLevelType w:val="hybridMultilevel"/>
    <w:tmpl w:val="0B82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396C7E"/>
    <w:multiLevelType w:val="hybridMultilevel"/>
    <w:tmpl w:val="E2CE8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7AD2546"/>
    <w:multiLevelType w:val="hybridMultilevel"/>
    <w:tmpl w:val="5C7E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4D210C"/>
    <w:multiLevelType w:val="hybridMultilevel"/>
    <w:tmpl w:val="E362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4572C8"/>
    <w:multiLevelType w:val="hybridMultilevel"/>
    <w:tmpl w:val="67A6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85E27"/>
    <w:multiLevelType w:val="hybridMultilevel"/>
    <w:tmpl w:val="A39416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BB71D4"/>
    <w:multiLevelType w:val="hybridMultilevel"/>
    <w:tmpl w:val="896A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8A41CD"/>
    <w:multiLevelType w:val="hybridMultilevel"/>
    <w:tmpl w:val="79DE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9C73E7"/>
    <w:multiLevelType w:val="hybridMultilevel"/>
    <w:tmpl w:val="4FCC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971833">
    <w:abstractNumId w:val="23"/>
  </w:num>
  <w:num w:numId="2" w16cid:durableId="887688250">
    <w:abstractNumId w:val="14"/>
  </w:num>
  <w:num w:numId="3" w16cid:durableId="428089470">
    <w:abstractNumId w:val="44"/>
  </w:num>
  <w:num w:numId="4" w16cid:durableId="540823206">
    <w:abstractNumId w:val="25"/>
  </w:num>
  <w:num w:numId="5" w16cid:durableId="2020815921">
    <w:abstractNumId w:val="38"/>
  </w:num>
  <w:num w:numId="6" w16cid:durableId="1929269829">
    <w:abstractNumId w:val="12"/>
  </w:num>
  <w:num w:numId="7" w16cid:durableId="529993059">
    <w:abstractNumId w:val="24"/>
  </w:num>
  <w:num w:numId="8" w16cid:durableId="314915814">
    <w:abstractNumId w:val="20"/>
  </w:num>
  <w:num w:numId="9" w16cid:durableId="1889147604">
    <w:abstractNumId w:val="2"/>
  </w:num>
  <w:num w:numId="10" w16cid:durableId="904612126">
    <w:abstractNumId w:val="28"/>
  </w:num>
  <w:num w:numId="11" w16cid:durableId="621424160">
    <w:abstractNumId w:val="32"/>
  </w:num>
  <w:num w:numId="12" w16cid:durableId="506939547">
    <w:abstractNumId w:val="17"/>
  </w:num>
  <w:num w:numId="13" w16cid:durableId="1659308646">
    <w:abstractNumId w:val="52"/>
  </w:num>
  <w:num w:numId="14" w16cid:durableId="1215197291">
    <w:abstractNumId w:val="41"/>
  </w:num>
  <w:num w:numId="15" w16cid:durableId="1608849090">
    <w:abstractNumId w:val="39"/>
  </w:num>
  <w:num w:numId="16" w16cid:durableId="1992176013">
    <w:abstractNumId w:val="49"/>
  </w:num>
  <w:num w:numId="17" w16cid:durableId="39865357">
    <w:abstractNumId w:val="10"/>
  </w:num>
  <w:num w:numId="18" w16cid:durableId="1354720481">
    <w:abstractNumId w:val="3"/>
  </w:num>
  <w:num w:numId="19" w16cid:durableId="1358579268">
    <w:abstractNumId w:val="19"/>
  </w:num>
  <w:num w:numId="20" w16cid:durableId="1371611931">
    <w:abstractNumId w:val="35"/>
  </w:num>
  <w:num w:numId="21" w16cid:durableId="1653220112">
    <w:abstractNumId w:val="5"/>
  </w:num>
  <w:num w:numId="22" w16cid:durableId="1970235103">
    <w:abstractNumId w:val="11"/>
  </w:num>
  <w:num w:numId="23" w16cid:durableId="1352487120">
    <w:abstractNumId w:val="53"/>
  </w:num>
  <w:num w:numId="24" w16cid:durableId="889922467">
    <w:abstractNumId w:val="16"/>
  </w:num>
  <w:num w:numId="25" w16cid:durableId="1238202398">
    <w:abstractNumId w:val="1"/>
  </w:num>
  <w:num w:numId="26" w16cid:durableId="1431002247">
    <w:abstractNumId w:val="43"/>
  </w:num>
  <w:num w:numId="27" w16cid:durableId="1061489208">
    <w:abstractNumId w:val="42"/>
  </w:num>
  <w:num w:numId="28" w16cid:durableId="1050613504">
    <w:abstractNumId w:val="15"/>
  </w:num>
  <w:num w:numId="29" w16cid:durableId="1827015367">
    <w:abstractNumId w:val="48"/>
  </w:num>
  <w:num w:numId="30" w16cid:durableId="3897388">
    <w:abstractNumId w:val="0"/>
  </w:num>
  <w:num w:numId="31" w16cid:durableId="1596671746">
    <w:abstractNumId w:val="45"/>
  </w:num>
  <w:num w:numId="32" w16cid:durableId="1597472538">
    <w:abstractNumId w:val="31"/>
  </w:num>
  <w:num w:numId="33" w16cid:durableId="332609294">
    <w:abstractNumId w:val="30"/>
  </w:num>
  <w:num w:numId="34" w16cid:durableId="460004561">
    <w:abstractNumId w:val="34"/>
  </w:num>
  <w:num w:numId="35" w16cid:durableId="1817379134">
    <w:abstractNumId w:val="21"/>
  </w:num>
  <w:num w:numId="36" w16cid:durableId="835072134">
    <w:abstractNumId w:val="26"/>
  </w:num>
  <w:num w:numId="37" w16cid:durableId="1887520213">
    <w:abstractNumId w:val="54"/>
  </w:num>
  <w:num w:numId="38" w16cid:durableId="845633501">
    <w:abstractNumId w:val="18"/>
  </w:num>
  <w:num w:numId="39" w16cid:durableId="1604874236">
    <w:abstractNumId w:val="29"/>
  </w:num>
  <w:num w:numId="40" w16cid:durableId="1378119422">
    <w:abstractNumId w:val="50"/>
  </w:num>
  <w:num w:numId="41" w16cid:durableId="1986425239">
    <w:abstractNumId w:val="46"/>
  </w:num>
  <w:num w:numId="42" w16cid:durableId="1245148827">
    <w:abstractNumId w:val="13"/>
  </w:num>
  <w:num w:numId="43" w16cid:durableId="744844630">
    <w:abstractNumId w:val="4"/>
  </w:num>
  <w:num w:numId="44" w16cid:durableId="1476219666">
    <w:abstractNumId w:val="40"/>
  </w:num>
  <w:num w:numId="45" w16cid:durableId="788283777">
    <w:abstractNumId w:val="47"/>
  </w:num>
  <w:num w:numId="46" w16cid:durableId="238951262">
    <w:abstractNumId w:val="9"/>
  </w:num>
  <w:num w:numId="47" w16cid:durableId="2002810312">
    <w:abstractNumId w:val="36"/>
  </w:num>
  <w:num w:numId="48" w16cid:durableId="1324896405">
    <w:abstractNumId w:val="22"/>
  </w:num>
  <w:num w:numId="49" w16cid:durableId="603079030">
    <w:abstractNumId w:val="7"/>
  </w:num>
  <w:num w:numId="50" w16cid:durableId="526413562">
    <w:abstractNumId w:val="27"/>
  </w:num>
  <w:num w:numId="51" w16cid:durableId="1500728003">
    <w:abstractNumId w:val="51"/>
  </w:num>
  <w:num w:numId="52" w16cid:durableId="1837645397">
    <w:abstractNumId w:val="6"/>
  </w:num>
  <w:num w:numId="53" w16cid:durableId="1961107058">
    <w:abstractNumId w:val="33"/>
  </w:num>
  <w:num w:numId="54" w16cid:durableId="757169912">
    <w:abstractNumId w:val="37"/>
  </w:num>
  <w:num w:numId="55" w16cid:durableId="835848859">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5F"/>
    <w:rsid w:val="00005E84"/>
    <w:rsid w:val="000111D6"/>
    <w:rsid w:val="00013D7D"/>
    <w:rsid w:val="00045D9C"/>
    <w:rsid w:val="00050D7D"/>
    <w:rsid w:val="000522E9"/>
    <w:rsid w:val="0005390E"/>
    <w:rsid w:val="00053952"/>
    <w:rsid w:val="00061E1D"/>
    <w:rsid w:val="000626E7"/>
    <w:rsid w:val="00065157"/>
    <w:rsid w:val="000724B0"/>
    <w:rsid w:val="00083FAC"/>
    <w:rsid w:val="000949B8"/>
    <w:rsid w:val="00095B8B"/>
    <w:rsid w:val="000971F4"/>
    <w:rsid w:val="000A4B9C"/>
    <w:rsid w:val="000B4EA8"/>
    <w:rsid w:val="000C03CC"/>
    <w:rsid w:val="000C1AB3"/>
    <w:rsid w:val="000C559D"/>
    <w:rsid w:val="000D391E"/>
    <w:rsid w:val="000D4E3E"/>
    <w:rsid w:val="000E0BB6"/>
    <w:rsid w:val="000E1554"/>
    <w:rsid w:val="000E71BE"/>
    <w:rsid w:val="000E7FD0"/>
    <w:rsid w:val="000F7314"/>
    <w:rsid w:val="000F7B24"/>
    <w:rsid w:val="0010596C"/>
    <w:rsid w:val="0011293B"/>
    <w:rsid w:val="0013039B"/>
    <w:rsid w:val="00136112"/>
    <w:rsid w:val="0014092C"/>
    <w:rsid w:val="0014637D"/>
    <w:rsid w:val="00151964"/>
    <w:rsid w:val="00183FC3"/>
    <w:rsid w:val="0018779C"/>
    <w:rsid w:val="001903B2"/>
    <w:rsid w:val="00196E7E"/>
    <w:rsid w:val="00197126"/>
    <w:rsid w:val="001B13FA"/>
    <w:rsid w:val="001B5F1D"/>
    <w:rsid w:val="001C0347"/>
    <w:rsid w:val="001C33C1"/>
    <w:rsid w:val="001C6DED"/>
    <w:rsid w:val="001E567F"/>
    <w:rsid w:val="001F0331"/>
    <w:rsid w:val="001F231B"/>
    <w:rsid w:val="001F651D"/>
    <w:rsid w:val="00211D60"/>
    <w:rsid w:val="002176C9"/>
    <w:rsid w:val="00217F23"/>
    <w:rsid w:val="002201D4"/>
    <w:rsid w:val="00224ACC"/>
    <w:rsid w:val="00230F83"/>
    <w:rsid w:val="0023149A"/>
    <w:rsid w:val="0023586E"/>
    <w:rsid w:val="002437F5"/>
    <w:rsid w:val="00243BC0"/>
    <w:rsid w:val="002468E2"/>
    <w:rsid w:val="002566A8"/>
    <w:rsid w:val="00265CBC"/>
    <w:rsid w:val="00271815"/>
    <w:rsid w:val="00282522"/>
    <w:rsid w:val="002830AB"/>
    <w:rsid w:val="0029522A"/>
    <w:rsid w:val="002A08C4"/>
    <w:rsid w:val="002A4E18"/>
    <w:rsid w:val="002A5215"/>
    <w:rsid w:val="002B2A20"/>
    <w:rsid w:val="002B7213"/>
    <w:rsid w:val="002C1CAB"/>
    <w:rsid w:val="002C1E35"/>
    <w:rsid w:val="002D2564"/>
    <w:rsid w:val="002D2FCA"/>
    <w:rsid w:val="002D3D54"/>
    <w:rsid w:val="002E3AF3"/>
    <w:rsid w:val="002E3CFC"/>
    <w:rsid w:val="002F5745"/>
    <w:rsid w:val="00300C86"/>
    <w:rsid w:val="00304BAC"/>
    <w:rsid w:val="003066E6"/>
    <w:rsid w:val="00315B62"/>
    <w:rsid w:val="003218EA"/>
    <w:rsid w:val="00322DD1"/>
    <w:rsid w:val="00333A04"/>
    <w:rsid w:val="00334FA8"/>
    <w:rsid w:val="003449AB"/>
    <w:rsid w:val="00350E87"/>
    <w:rsid w:val="00354505"/>
    <w:rsid w:val="00354C7A"/>
    <w:rsid w:val="00366FA6"/>
    <w:rsid w:val="00370678"/>
    <w:rsid w:val="0037259E"/>
    <w:rsid w:val="00374D01"/>
    <w:rsid w:val="00376B34"/>
    <w:rsid w:val="00376FFE"/>
    <w:rsid w:val="0038213F"/>
    <w:rsid w:val="00384C47"/>
    <w:rsid w:val="00384F14"/>
    <w:rsid w:val="0039320A"/>
    <w:rsid w:val="00394AB7"/>
    <w:rsid w:val="003A0627"/>
    <w:rsid w:val="003A27FD"/>
    <w:rsid w:val="003B3CD7"/>
    <w:rsid w:val="003C1C90"/>
    <w:rsid w:val="003C4FFD"/>
    <w:rsid w:val="003C6B61"/>
    <w:rsid w:val="003D4FC6"/>
    <w:rsid w:val="003D5156"/>
    <w:rsid w:val="003E1D66"/>
    <w:rsid w:val="003E22C7"/>
    <w:rsid w:val="003F2EB1"/>
    <w:rsid w:val="003F3073"/>
    <w:rsid w:val="003F4F87"/>
    <w:rsid w:val="003F6930"/>
    <w:rsid w:val="004036B2"/>
    <w:rsid w:val="00405BC3"/>
    <w:rsid w:val="004147ED"/>
    <w:rsid w:val="0041755E"/>
    <w:rsid w:val="00422DEE"/>
    <w:rsid w:val="00425951"/>
    <w:rsid w:val="0042773D"/>
    <w:rsid w:val="00433D42"/>
    <w:rsid w:val="004379D0"/>
    <w:rsid w:val="004419D5"/>
    <w:rsid w:val="0046427D"/>
    <w:rsid w:val="00466E35"/>
    <w:rsid w:val="0048427E"/>
    <w:rsid w:val="004865F9"/>
    <w:rsid w:val="004A02CB"/>
    <w:rsid w:val="004A0543"/>
    <w:rsid w:val="004A3EF6"/>
    <w:rsid w:val="004B416D"/>
    <w:rsid w:val="004B5567"/>
    <w:rsid w:val="004B75A0"/>
    <w:rsid w:val="004B7803"/>
    <w:rsid w:val="004C2CC6"/>
    <w:rsid w:val="004C3537"/>
    <w:rsid w:val="004C5672"/>
    <w:rsid w:val="004C72E2"/>
    <w:rsid w:val="004D39F1"/>
    <w:rsid w:val="004E3DD4"/>
    <w:rsid w:val="004E4717"/>
    <w:rsid w:val="004E5571"/>
    <w:rsid w:val="005055D9"/>
    <w:rsid w:val="00505913"/>
    <w:rsid w:val="00512AB1"/>
    <w:rsid w:val="005272D3"/>
    <w:rsid w:val="005311A6"/>
    <w:rsid w:val="005362DF"/>
    <w:rsid w:val="005414C0"/>
    <w:rsid w:val="00542654"/>
    <w:rsid w:val="00543D1F"/>
    <w:rsid w:val="005508EC"/>
    <w:rsid w:val="00563DEE"/>
    <w:rsid w:val="005747D0"/>
    <w:rsid w:val="0057772C"/>
    <w:rsid w:val="00581AFF"/>
    <w:rsid w:val="00587201"/>
    <w:rsid w:val="00587EA8"/>
    <w:rsid w:val="005A0D81"/>
    <w:rsid w:val="005A0F72"/>
    <w:rsid w:val="005A5AAD"/>
    <w:rsid w:val="005A6C24"/>
    <w:rsid w:val="005B1CEF"/>
    <w:rsid w:val="005B3737"/>
    <w:rsid w:val="005B478A"/>
    <w:rsid w:val="005B78D8"/>
    <w:rsid w:val="005C2A73"/>
    <w:rsid w:val="005C37E5"/>
    <w:rsid w:val="005C3A94"/>
    <w:rsid w:val="005E5950"/>
    <w:rsid w:val="005E7A42"/>
    <w:rsid w:val="00607427"/>
    <w:rsid w:val="0061053D"/>
    <w:rsid w:val="0061493F"/>
    <w:rsid w:val="006177FF"/>
    <w:rsid w:val="00623AD0"/>
    <w:rsid w:val="00625BC2"/>
    <w:rsid w:val="00634F43"/>
    <w:rsid w:val="00634F5F"/>
    <w:rsid w:val="00637AAB"/>
    <w:rsid w:val="0064327E"/>
    <w:rsid w:val="00654D81"/>
    <w:rsid w:val="00665640"/>
    <w:rsid w:val="00673FD3"/>
    <w:rsid w:val="00674A01"/>
    <w:rsid w:val="00675ABE"/>
    <w:rsid w:val="00681FD0"/>
    <w:rsid w:val="00685334"/>
    <w:rsid w:val="00687850"/>
    <w:rsid w:val="0069094B"/>
    <w:rsid w:val="00694B12"/>
    <w:rsid w:val="00695109"/>
    <w:rsid w:val="006A2FAD"/>
    <w:rsid w:val="006A726E"/>
    <w:rsid w:val="006A7FC9"/>
    <w:rsid w:val="006B5333"/>
    <w:rsid w:val="006B615C"/>
    <w:rsid w:val="006C0436"/>
    <w:rsid w:val="006C4E49"/>
    <w:rsid w:val="006E6EDF"/>
    <w:rsid w:val="006E76C5"/>
    <w:rsid w:val="006F0961"/>
    <w:rsid w:val="006F4C5E"/>
    <w:rsid w:val="006F561A"/>
    <w:rsid w:val="00701A77"/>
    <w:rsid w:val="00701E88"/>
    <w:rsid w:val="00704B90"/>
    <w:rsid w:val="007165A0"/>
    <w:rsid w:val="0072620A"/>
    <w:rsid w:val="007338AA"/>
    <w:rsid w:val="00744403"/>
    <w:rsid w:val="00746BAB"/>
    <w:rsid w:val="00752C5E"/>
    <w:rsid w:val="00754BB2"/>
    <w:rsid w:val="007606F6"/>
    <w:rsid w:val="007631F6"/>
    <w:rsid w:val="00770171"/>
    <w:rsid w:val="00790304"/>
    <w:rsid w:val="007903D5"/>
    <w:rsid w:val="00796FF1"/>
    <w:rsid w:val="007A01B4"/>
    <w:rsid w:val="007A2DDA"/>
    <w:rsid w:val="007A7D90"/>
    <w:rsid w:val="007B22BA"/>
    <w:rsid w:val="007C112A"/>
    <w:rsid w:val="007C452D"/>
    <w:rsid w:val="007C50D5"/>
    <w:rsid w:val="007C69DE"/>
    <w:rsid w:val="007E527E"/>
    <w:rsid w:val="007F36F0"/>
    <w:rsid w:val="00802D0E"/>
    <w:rsid w:val="00812A01"/>
    <w:rsid w:val="00813294"/>
    <w:rsid w:val="00813FB9"/>
    <w:rsid w:val="008158BD"/>
    <w:rsid w:val="00822837"/>
    <w:rsid w:val="00823154"/>
    <w:rsid w:val="00824230"/>
    <w:rsid w:val="00824E3A"/>
    <w:rsid w:val="00826095"/>
    <w:rsid w:val="00832C7A"/>
    <w:rsid w:val="008466C5"/>
    <w:rsid w:val="00846DF0"/>
    <w:rsid w:val="0085135A"/>
    <w:rsid w:val="008532FD"/>
    <w:rsid w:val="0085598D"/>
    <w:rsid w:val="00855EBB"/>
    <w:rsid w:val="00862B57"/>
    <w:rsid w:val="00863848"/>
    <w:rsid w:val="008642CA"/>
    <w:rsid w:val="008768B2"/>
    <w:rsid w:val="00885688"/>
    <w:rsid w:val="00886B4E"/>
    <w:rsid w:val="00896867"/>
    <w:rsid w:val="00896AAC"/>
    <w:rsid w:val="008A1418"/>
    <w:rsid w:val="008A47C4"/>
    <w:rsid w:val="008A4A22"/>
    <w:rsid w:val="008B3EE2"/>
    <w:rsid w:val="008B4A64"/>
    <w:rsid w:val="008B6F71"/>
    <w:rsid w:val="008B7833"/>
    <w:rsid w:val="008C0BE9"/>
    <w:rsid w:val="008C1337"/>
    <w:rsid w:val="008C15BA"/>
    <w:rsid w:val="008C3B8C"/>
    <w:rsid w:val="008C5670"/>
    <w:rsid w:val="008C5B6B"/>
    <w:rsid w:val="008D0609"/>
    <w:rsid w:val="008D217A"/>
    <w:rsid w:val="008D3B97"/>
    <w:rsid w:val="008D51FC"/>
    <w:rsid w:val="008D7AB7"/>
    <w:rsid w:val="008E10B3"/>
    <w:rsid w:val="008E243F"/>
    <w:rsid w:val="008E72AB"/>
    <w:rsid w:val="008F4896"/>
    <w:rsid w:val="008F48B6"/>
    <w:rsid w:val="00905033"/>
    <w:rsid w:val="009056DF"/>
    <w:rsid w:val="00911E63"/>
    <w:rsid w:val="0091411B"/>
    <w:rsid w:val="009177C2"/>
    <w:rsid w:val="0092424A"/>
    <w:rsid w:val="00925BDD"/>
    <w:rsid w:val="009272D7"/>
    <w:rsid w:val="00930491"/>
    <w:rsid w:val="00930FE1"/>
    <w:rsid w:val="00931B99"/>
    <w:rsid w:val="00933680"/>
    <w:rsid w:val="00942BA6"/>
    <w:rsid w:val="00943CB5"/>
    <w:rsid w:val="00944BA3"/>
    <w:rsid w:val="0094767A"/>
    <w:rsid w:val="009542B7"/>
    <w:rsid w:val="009572CC"/>
    <w:rsid w:val="00960FD0"/>
    <w:rsid w:val="00973B18"/>
    <w:rsid w:val="009765A3"/>
    <w:rsid w:val="00977030"/>
    <w:rsid w:val="009846A6"/>
    <w:rsid w:val="00996F2C"/>
    <w:rsid w:val="009A1477"/>
    <w:rsid w:val="009A1CA2"/>
    <w:rsid w:val="009A7A45"/>
    <w:rsid w:val="009C4E1A"/>
    <w:rsid w:val="009C53F6"/>
    <w:rsid w:val="009D0744"/>
    <w:rsid w:val="009D2175"/>
    <w:rsid w:val="009D4F7F"/>
    <w:rsid w:val="009D6BCA"/>
    <w:rsid w:val="009E2520"/>
    <w:rsid w:val="009E30E2"/>
    <w:rsid w:val="009F07FF"/>
    <w:rsid w:val="009F287D"/>
    <w:rsid w:val="00A11108"/>
    <w:rsid w:val="00A13266"/>
    <w:rsid w:val="00A139C4"/>
    <w:rsid w:val="00A23F0A"/>
    <w:rsid w:val="00A26AD9"/>
    <w:rsid w:val="00A34321"/>
    <w:rsid w:val="00A3711F"/>
    <w:rsid w:val="00A4128D"/>
    <w:rsid w:val="00A412F0"/>
    <w:rsid w:val="00A45875"/>
    <w:rsid w:val="00A5119F"/>
    <w:rsid w:val="00A5724C"/>
    <w:rsid w:val="00A61201"/>
    <w:rsid w:val="00A6292F"/>
    <w:rsid w:val="00A63CC9"/>
    <w:rsid w:val="00A678D3"/>
    <w:rsid w:val="00A76592"/>
    <w:rsid w:val="00A778C5"/>
    <w:rsid w:val="00A85AD7"/>
    <w:rsid w:val="00A972A4"/>
    <w:rsid w:val="00AA1DCC"/>
    <w:rsid w:val="00AA5F59"/>
    <w:rsid w:val="00AA617B"/>
    <w:rsid w:val="00AA6D15"/>
    <w:rsid w:val="00AB5834"/>
    <w:rsid w:val="00AB7727"/>
    <w:rsid w:val="00AC09C4"/>
    <w:rsid w:val="00AC4354"/>
    <w:rsid w:val="00AC6364"/>
    <w:rsid w:val="00AD0349"/>
    <w:rsid w:val="00AD66E0"/>
    <w:rsid w:val="00AD7AED"/>
    <w:rsid w:val="00AE262A"/>
    <w:rsid w:val="00AF253E"/>
    <w:rsid w:val="00AF3243"/>
    <w:rsid w:val="00B07E86"/>
    <w:rsid w:val="00B113A1"/>
    <w:rsid w:val="00B1147B"/>
    <w:rsid w:val="00B117D8"/>
    <w:rsid w:val="00B16B3F"/>
    <w:rsid w:val="00B240D1"/>
    <w:rsid w:val="00B2637E"/>
    <w:rsid w:val="00B34824"/>
    <w:rsid w:val="00B350E5"/>
    <w:rsid w:val="00B363C6"/>
    <w:rsid w:val="00B425F3"/>
    <w:rsid w:val="00B44497"/>
    <w:rsid w:val="00B4577A"/>
    <w:rsid w:val="00B47345"/>
    <w:rsid w:val="00B513A7"/>
    <w:rsid w:val="00B55D03"/>
    <w:rsid w:val="00B56FF6"/>
    <w:rsid w:val="00B63DC8"/>
    <w:rsid w:val="00B6671E"/>
    <w:rsid w:val="00B71990"/>
    <w:rsid w:val="00B720DB"/>
    <w:rsid w:val="00B734DF"/>
    <w:rsid w:val="00B774BB"/>
    <w:rsid w:val="00B80E5E"/>
    <w:rsid w:val="00B82C83"/>
    <w:rsid w:val="00B85D8A"/>
    <w:rsid w:val="00B921D6"/>
    <w:rsid w:val="00BA571A"/>
    <w:rsid w:val="00BA7D7B"/>
    <w:rsid w:val="00BB21F7"/>
    <w:rsid w:val="00BB3C35"/>
    <w:rsid w:val="00BB7BE2"/>
    <w:rsid w:val="00BD2892"/>
    <w:rsid w:val="00BD3A85"/>
    <w:rsid w:val="00BD4256"/>
    <w:rsid w:val="00BD55CA"/>
    <w:rsid w:val="00BE6452"/>
    <w:rsid w:val="00BE7D66"/>
    <w:rsid w:val="00BF0A12"/>
    <w:rsid w:val="00BF263D"/>
    <w:rsid w:val="00BF7A12"/>
    <w:rsid w:val="00C04A9B"/>
    <w:rsid w:val="00C078AF"/>
    <w:rsid w:val="00C122C8"/>
    <w:rsid w:val="00C47D45"/>
    <w:rsid w:val="00C50829"/>
    <w:rsid w:val="00C61EB0"/>
    <w:rsid w:val="00C61F93"/>
    <w:rsid w:val="00C63B4D"/>
    <w:rsid w:val="00C71F85"/>
    <w:rsid w:val="00C732BC"/>
    <w:rsid w:val="00C83BB1"/>
    <w:rsid w:val="00C8422E"/>
    <w:rsid w:val="00C91B28"/>
    <w:rsid w:val="00C9477D"/>
    <w:rsid w:val="00CA338F"/>
    <w:rsid w:val="00CB687A"/>
    <w:rsid w:val="00CC3814"/>
    <w:rsid w:val="00CC59B4"/>
    <w:rsid w:val="00CE0E23"/>
    <w:rsid w:val="00CE1443"/>
    <w:rsid w:val="00CE4E08"/>
    <w:rsid w:val="00CF40D4"/>
    <w:rsid w:val="00CF5236"/>
    <w:rsid w:val="00CF58AE"/>
    <w:rsid w:val="00CF5C06"/>
    <w:rsid w:val="00D008E2"/>
    <w:rsid w:val="00D02465"/>
    <w:rsid w:val="00D03EC2"/>
    <w:rsid w:val="00D079CB"/>
    <w:rsid w:val="00D1673F"/>
    <w:rsid w:val="00D257F0"/>
    <w:rsid w:val="00D26F40"/>
    <w:rsid w:val="00D34005"/>
    <w:rsid w:val="00D343FF"/>
    <w:rsid w:val="00D45188"/>
    <w:rsid w:val="00D54F46"/>
    <w:rsid w:val="00D56E9A"/>
    <w:rsid w:val="00D60AF5"/>
    <w:rsid w:val="00D61688"/>
    <w:rsid w:val="00D64649"/>
    <w:rsid w:val="00D71919"/>
    <w:rsid w:val="00D72BA0"/>
    <w:rsid w:val="00D878F8"/>
    <w:rsid w:val="00D94C66"/>
    <w:rsid w:val="00DA1C2D"/>
    <w:rsid w:val="00DB213D"/>
    <w:rsid w:val="00DB53E7"/>
    <w:rsid w:val="00DC2630"/>
    <w:rsid w:val="00DC55F0"/>
    <w:rsid w:val="00DC6911"/>
    <w:rsid w:val="00DD380B"/>
    <w:rsid w:val="00DD59C8"/>
    <w:rsid w:val="00DD69FA"/>
    <w:rsid w:val="00DE380E"/>
    <w:rsid w:val="00DF6B10"/>
    <w:rsid w:val="00E1153F"/>
    <w:rsid w:val="00E1178D"/>
    <w:rsid w:val="00E12FB7"/>
    <w:rsid w:val="00E20213"/>
    <w:rsid w:val="00E2292C"/>
    <w:rsid w:val="00E22BB3"/>
    <w:rsid w:val="00E31208"/>
    <w:rsid w:val="00E31EA6"/>
    <w:rsid w:val="00E32C65"/>
    <w:rsid w:val="00E432D9"/>
    <w:rsid w:val="00E517F7"/>
    <w:rsid w:val="00E52B9B"/>
    <w:rsid w:val="00E53A74"/>
    <w:rsid w:val="00E54BAE"/>
    <w:rsid w:val="00E55C89"/>
    <w:rsid w:val="00E5650A"/>
    <w:rsid w:val="00E615B3"/>
    <w:rsid w:val="00E61C2A"/>
    <w:rsid w:val="00E64CD4"/>
    <w:rsid w:val="00E7575E"/>
    <w:rsid w:val="00E75F2F"/>
    <w:rsid w:val="00E82B3C"/>
    <w:rsid w:val="00E84CB7"/>
    <w:rsid w:val="00E865F8"/>
    <w:rsid w:val="00E86665"/>
    <w:rsid w:val="00E90977"/>
    <w:rsid w:val="00E92435"/>
    <w:rsid w:val="00EA0FE3"/>
    <w:rsid w:val="00EA5717"/>
    <w:rsid w:val="00EB4519"/>
    <w:rsid w:val="00EC146A"/>
    <w:rsid w:val="00EC2725"/>
    <w:rsid w:val="00EC2793"/>
    <w:rsid w:val="00EC4E78"/>
    <w:rsid w:val="00EC5F9B"/>
    <w:rsid w:val="00EC74AD"/>
    <w:rsid w:val="00ED3868"/>
    <w:rsid w:val="00ED5A6E"/>
    <w:rsid w:val="00EE6B39"/>
    <w:rsid w:val="00EF53BD"/>
    <w:rsid w:val="00F02BE6"/>
    <w:rsid w:val="00F06C14"/>
    <w:rsid w:val="00F123FD"/>
    <w:rsid w:val="00F22891"/>
    <w:rsid w:val="00F3071B"/>
    <w:rsid w:val="00F30A40"/>
    <w:rsid w:val="00F35426"/>
    <w:rsid w:val="00F36696"/>
    <w:rsid w:val="00F52FE9"/>
    <w:rsid w:val="00F550BE"/>
    <w:rsid w:val="00F60B72"/>
    <w:rsid w:val="00F62B0B"/>
    <w:rsid w:val="00F63B8A"/>
    <w:rsid w:val="00F657E3"/>
    <w:rsid w:val="00F6580D"/>
    <w:rsid w:val="00F65C79"/>
    <w:rsid w:val="00F71578"/>
    <w:rsid w:val="00F74F8F"/>
    <w:rsid w:val="00F86E6A"/>
    <w:rsid w:val="00F93751"/>
    <w:rsid w:val="00FA1A66"/>
    <w:rsid w:val="00FA5F41"/>
    <w:rsid w:val="00FA66A8"/>
    <w:rsid w:val="00FB01A1"/>
    <w:rsid w:val="00FB2038"/>
    <w:rsid w:val="00FB38E8"/>
    <w:rsid w:val="00FB6565"/>
    <w:rsid w:val="00FC0B61"/>
    <w:rsid w:val="00FC3862"/>
    <w:rsid w:val="00FC4771"/>
    <w:rsid w:val="00FC7DE7"/>
    <w:rsid w:val="00FD0BEB"/>
    <w:rsid w:val="00FD2A5A"/>
    <w:rsid w:val="00FD57A5"/>
    <w:rsid w:val="00FE4C8D"/>
    <w:rsid w:val="00FF1372"/>
    <w:rsid w:val="00FF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664A"/>
  <w15:docId w15:val="{271969ED-DE4B-4167-BC99-2BB97456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5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EE2"/>
    <w:pPr>
      <w:ind w:left="720"/>
      <w:contextualSpacing/>
    </w:pPr>
  </w:style>
  <w:style w:type="paragraph" w:customStyle="1" w:styleId="Default">
    <w:name w:val="Default"/>
    <w:rsid w:val="00B720D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63B4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63B4D"/>
    <w:rPr>
      <w:rFonts w:ascii="Tahoma" w:hAnsi="Tahoma" w:cs="Tahoma"/>
      <w:sz w:val="16"/>
      <w:szCs w:val="16"/>
    </w:rPr>
  </w:style>
  <w:style w:type="character" w:styleId="SubtleEmphasis">
    <w:name w:val="Subtle Emphasis"/>
    <w:basedOn w:val="DefaultParagraphFont"/>
    <w:uiPriority w:val="19"/>
    <w:qFormat/>
    <w:rsid w:val="00D343FF"/>
    <w:rPr>
      <w:i/>
      <w:iCs/>
      <w:color w:val="808080" w:themeColor="text1" w:themeTint="7F"/>
    </w:rPr>
  </w:style>
  <w:style w:type="paragraph" w:styleId="Revision">
    <w:name w:val="Revision"/>
    <w:hidden/>
    <w:uiPriority w:val="99"/>
    <w:semiHidden/>
    <w:rsid w:val="003A0627"/>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2773D"/>
    <w:rPr>
      <w:sz w:val="16"/>
      <w:szCs w:val="16"/>
    </w:rPr>
  </w:style>
  <w:style w:type="paragraph" w:styleId="CommentText">
    <w:name w:val="annotation text"/>
    <w:basedOn w:val="Normal"/>
    <w:link w:val="CommentTextChar"/>
    <w:uiPriority w:val="99"/>
    <w:unhideWhenUsed/>
    <w:rsid w:val="0042773D"/>
    <w:rPr>
      <w:sz w:val="20"/>
      <w:szCs w:val="20"/>
    </w:rPr>
  </w:style>
  <w:style w:type="character" w:customStyle="1" w:styleId="CommentTextChar">
    <w:name w:val="Comment Text Char"/>
    <w:basedOn w:val="DefaultParagraphFont"/>
    <w:link w:val="CommentText"/>
    <w:uiPriority w:val="99"/>
    <w:rsid w:val="0042773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773D"/>
    <w:rPr>
      <w:b/>
      <w:bCs/>
    </w:rPr>
  </w:style>
  <w:style w:type="character" w:customStyle="1" w:styleId="CommentSubjectChar">
    <w:name w:val="Comment Subject Char"/>
    <w:basedOn w:val="CommentTextChar"/>
    <w:link w:val="CommentSubject"/>
    <w:uiPriority w:val="99"/>
    <w:semiHidden/>
    <w:rsid w:val="0042773D"/>
    <w:rPr>
      <w:rFonts w:ascii="Arial" w:eastAsia="Times New Roman" w:hAnsi="Arial" w:cs="Times New Roman"/>
      <w:b/>
      <w:bCs/>
      <w:sz w:val="20"/>
      <w:szCs w:val="20"/>
    </w:rPr>
  </w:style>
  <w:style w:type="paragraph" w:styleId="Header">
    <w:name w:val="header"/>
    <w:basedOn w:val="Normal"/>
    <w:link w:val="HeaderChar"/>
    <w:uiPriority w:val="99"/>
    <w:unhideWhenUsed/>
    <w:rsid w:val="004419D5"/>
    <w:pPr>
      <w:tabs>
        <w:tab w:val="center" w:pos="4513"/>
        <w:tab w:val="right" w:pos="9026"/>
      </w:tabs>
    </w:pPr>
  </w:style>
  <w:style w:type="character" w:customStyle="1" w:styleId="HeaderChar">
    <w:name w:val="Header Char"/>
    <w:basedOn w:val="DefaultParagraphFont"/>
    <w:link w:val="Header"/>
    <w:uiPriority w:val="99"/>
    <w:rsid w:val="004419D5"/>
    <w:rPr>
      <w:rFonts w:ascii="Arial" w:eastAsia="Times New Roman" w:hAnsi="Arial" w:cs="Times New Roman"/>
      <w:sz w:val="24"/>
      <w:szCs w:val="24"/>
    </w:rPr>
  </w:style>
  <w:style w:type="paragraph" w:styleId="Footer">
    <w:name w:val="footer"/>
    <w:basedOn w:val="Normal"/>
    <w:link w:val="FooterChar"/>
    <w:uiPriority w:val="99"/>
    <w:unhideWhenUsed/>
    <w:rsid w:val="004419D5"/>
    <w:pPr>
      <w:tabs>
        <w:tab w:val="center" w:pos="4513"/>
        <w:tab w:val="right" w:pos="9026"/>
      </w:tabs>
    </w:pPr>
  </w:style>
  <w:style w:type="character" w:customStyle="1" w:styleId="FooterChar">
    <w:name w:val="Footer Char"/>
    <w:basedOn w:val="DefaultParagraphFont"/>
    <w:link w:val="Footer"/>
    <w:uiPriority w:val="99"/>
    <w:rsid w:val="004419D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190">
      <w:bodyDiv w:val="1"/>
      <w:marLeft w:val="0"/>
      <w:marRight w:val="0"/>
      <w:marTop w:val="0"/>
      <w:marBottom w:val="0"/>
      <w:divBdr>
        <w:top w:val="none" w:sz="0" w:space="0" w:color="auto"/>
        <w:left w:val="none" w:sz="0" w:space="0" w:color="auto"/>
        <w:bottom w:val="none" w:sz="0" w:space="0" w:color="auto"/>
        <w:right w:val="none" w:sz="0" w:space="0" w:color="auto"/>
      </w:divBdr>
    </w:div>
    <w:div w:id="110318256">
      <w:bodyDiv w:val="1"/>
      <w:marLeft w:val="0"/>
      <w:marRight w:val="0"/>
      <w:marTop w:val="0"/>
      <w:marBottom w:val="0"/>
      <w:divBdr>
        <w:top w:val="none" w:sz="0" w:space="0" w:color="auto"/>
        <w:left w:val="none" w:sz="0" w:space="0" w:color="auto"/>
        <w:bottom w:val="none" w:sz="0" w:space="0" w:color="auto"/>
        <w:right w:val="none" w:sz="0" w:space="0" w:color="auto"/>
      </w:divBdr>
    </w:div>
    <w:div w:id="233593303">
      <w:bodyDiv w:val="1"/>
      <w:marLeft w:val="0"/>
      <w:marRight w:val="0"/>
      <w:marTop w:val="0"/>
      <w:marBottom w:val="0"/>
      <w:divBdr>
        <w:top w:val="none" w:sz="0" w:space="0" w:color="auto"/>
        <w:left w:val="none" w:sz="0" w:space="0" w:color="auto"/>
        <w:bottom w:val="none" w:sz="0" w:space="0" w:color="auto"/>
        <w:right w:val="none" w:sz="0" w:space="0" w:color="auto"/>
      </w:divBdr>
    </w:div>
    <w:div w:id="309866493">
      <w:bodyDiv w:val="1"/>
      <w:marLeft w:val="0"/>
      <w:marRight w:val="0"/>
      <w:marTop w:val="0"/>
      <w:marBottom w:val="0"/>
      <w:divBdr>
        <w:top w:val="none" w:sz="0" w:space="0" w:color="auto"/>
        <w:left w:val="none" w:sz="0" w:space="0" w:color="auto"/>
        <w:bottom w:val="none" w:sz="0" w:space="0" w:color="auto"/>
        <w:right w:val="none" w:sz="0" w:space="0" w:color="auto"/>
      </w:divBdr>
    </w:div>
    <w:div w:id="325479072">
      <w:bodyDiv w:val="1"/>
      <w:marLeft w:val="0"/>
      <w:marRight w:val="0"/>
      <w:marTop w:val="0"/>
      <w:marBottom w:val="0"/>
      <w:divBdr>
        <w:top w:val="none" w:sz="0" w:space="0" w:color="auto"/>
        <w:left w:val="none" w:sz="0" w:space="0" w:color="auto"/>
        <w:bottom w:val="none" w:sz="0" w:space="0" w:color="auto"/>
        <w:right w:val="none" w:sz="0" w:space="0" w:color="auto"/>
      </w:divBdr>
    </w:div>
    <w:div w:id="346714647">
      <w:bodyDiv w:val="1"/>
      <w:marLeft w:val="0"/>
      <w:marRight w:val="0"/>
      <w:marTop w:val="0"/>
      <w:marBottom w:val="0"/>
      <w:divBdr>
        <w:top w:val="none" w:sz="0" w:space="0" w:color="auto"/>
        <w:left w:val="none" w:sz="0" w:space="0" w:color="auto"/>
        <w:bottom w:val="none" w:sz="0" w:space="0" w:color="auto"/>
        <w:right w:val="none" w:sz="0" w:space="0" w:color="auto"/>
      </w:divBdr>
    </w:div>
    <w:div w:id="377822236">
      <w:bodyDiv w:val="1"/>
      <w:marLeft w:val="0"/>
      <w:marRight w:val="0"/>
      <w:marTop w:val="0"/>
      <w:marBottom w:val="0"/>
      <w:divBdr>
        <w:top w:val="none" w:sz="0" w:space="0" w:color="auto"/>
        <w:left w:val="none" w:sz="0" w:space="0" w:color="auto"/>
        <w:bottom w:val="none" w:sz="0" w:space="0" w:color="auto"/>
        <w:right w:val="none" w:sz="0" w:space="0" w:color="auto"/>
      </w:divBdr>
    </w:div>
    <w:div w:id="536772199">
      <w:bodyDiv w:val="1"/>
      <w:marLeft w:val="0"/>
      <w:marRight w:val="0"/>
      <w:marTop w:val="0"/>
      <w:marBottom w:val="0"/>
      <w:divBdr>
        <w:top w:val="none" w:sz="0" w:space="0" w:color="auto"/>
        <w:left w:val="none" w:sz="0" w:space="0" w:color="auto"/>
        <w:bottom w:val="none" w:sz="0" w:space="0" w:color="auto"/>
        <w:right w:val="none" w:sz="0" w:space="0" w:color="auto"/>
      </w:divBdr>
    </w:div>
    <w:div w:id="573244705">
      <w:bodyDiv w:val="1"/>
      <w:marLeft w:val="0"/>
      <w:marRight w:val="0"/>
      <w:marTop w:val="0"/>
      <w:marBottom w:val="0"/>
      <w:divBdr>
        <w:top w:val="none" w:sz="0" w:space="0" w:color="auto"/>
        <w:left w:val="none" w:sz="0" w:space="0" w:color="auto"/>
        <w:bottom w:val="none" w:sz="0" w:space="0" w:color="auto"/>
        <w:right w:val="none" w:sz="0" w:space="0" w:color="auto"/>
      </w:divBdr>
    </w:div>
    <w:div w:id="577666330">
      <w:bodyDiv w:val="1"/>
      <w:marLeft w:val="0"/>
      <w:marRight w:val="0"/>
      <w:marTop w:val="0"/>
      <w:marBottom w:val="0"/>
      <w:divBdr>
        <w:top w:val="none" w:sz="0" w:space="0" w:color="auto"/>
        <w:left w:val="none" w:sz="0" w:space="0" w:color="auto"/>
        <w:bottom w:val="none" w:sz="0" w:space="0" w:color="auto"/>
        <w:right w:val="none" w:sz="0" w:space="0" w:color="auto"/>
      </w:divBdr>
    </w:div>
    <w:div w:id="724764295">
      <w:bodyDiv w:val="1"/>
      <w:marLeft w:val="0"/>
      <w:marRight w:val="0"/>
      <w:marTop w:val="0"/>
      <w:marBottom w:val="0"/>
      <w:divBdr>
        <w:top w:val="none" w:sz="0" w:space="0" w:color="auto"/>
        <w:left w:val="none" w:sz="0" w:space="0" w:color="auto"/>
        <w:bottom w:val="none" w:sz="0" w:space="0" w:color="auto"/>
        <w:right w:val="none" w:sz="0" w:space="0" w:color="auto"/>
      </w:divBdr>
    </w:div>
    <w:div w:id="889076604">
      <w:bodyDiv w:val="1"/>
      <w:marLeft w:val="0"/>
      <w:marRight w:val="0"/>
      <w:marTop w:val="0"/>
      <w:marBottom w:val="0"/>
      <w:divBdr>
        <w:top w:val="none" w:sz="0" w:space="0" w:color="auto"/>
        <w:left w:val="none" w:sz="0" w:space="0" w:color="auto"/>
        <w:bottom w:val="none" w:sz="0" w:space="0" w:color="auto"/>
        <w:right w:val="none" w:sz="0" w:space="0" w:color="auto"/>
      </w:divBdr>
    </w:div>
    <w:div w:id="947274602">
      <w:bodyDiv w:val="1"/>
      <w:marLeft w:val="0"/>
      <w:marRight w:val="0"/>
      <w:marTop w:val="0"/>
      <w:marBottom w:val="0"/>
      <w:divBdr>
        <w:top w:val="none" w:sz="0" w:space="0" w:color="auto"/>
        <w:left w:val="none" w:sz="0" w:space="0" w:color="auto"/>
        <w:bottom w:val="none" w:sz="0" w:space="0" w:color="auto"/>
        <w:right w:val="none" w:sz="0" w:space="0" w:color="auto"/>
      </w:divBdr>
    </w:div>
    <w:div w:id="961378964">
      <w:bodyDiv w:val="1"/>
      <w:marLeft w:val="0"/>
      <w:marRight w:val="0"/>
      <w:marTop w:val="0"/>
      <w:marBottom w:val="0"/>
      <w:divBdr>
        <w:top w:val="none" w:sz="0" w:space="0" w:color="auto"/>
        <w:left w:val="none" w:sz="0" w:space="0" w:color="auto"/>
        <w:bottom w:val="none" w:sz="0" w:space="0" w:color="auto"/>
        <w:right w:val="none" w:sz="0" w:space="0" w:color="auto"/>
      </w:divBdr>
    </w:div>
    <w:div w:id="1064060384">
      <w:bodyDiv w:val="1"/>
      <w:marLeft w:val="0"/>
      <w:marRight w:val="0"/>
      <w:marTop w:val="0"/>
      <w:marBottom w:val="0"/>
      <w:divBdr>
        <w:top w:val="none" w:sz="0" w:space="0" w:color="auto"/>
        <w:left w:val="none" w:sz="0" w:space="0" w:color="auto"/>
        <w:bottom w:val="none" w:sz="0" w:space="0" w:color="auto"/>
        <w:right w:val="none" w:sz="0" w:space="0" w:color="auto"/>
      </w:divBdr>
    </w:div>
    <w:div w:id="1164980150">
      <w:bodyDiv w:val="1"/>
      <w:marLeft w:val="0"/>
      <w:marRight w:val="0"/>
      <w:marTop w:val="0"/>
      <w:marBottom w:val="0"/>
      <w:divBdr>
        <w:top w:val="none" w:sz="0" w:space="0" w:color="auto"/>
        <w:left w:val="none" w:sz="0" w:space="0" w:color="auto"/>
        <w:bottom w:val="none" w:sz="0" w:space="0" w:color="auto"/>
        <w:right w:val="none" w:sz="0" w:space="0" w:color="auto"/>
      </w:divBdr>
    </w:div>
    <w:div w:id="1198587946">
      <w:bodyDiv w:val="1"/>
      <w:marLeft w:val="0"/>
      <w:marRight w:val="0"/>
      <w:marTop w:val="0"/>
      <w:marBottom w:val="0"/>
      <w:divBdr>
        <w:top w:val="none" w:sz="0" w:space="0" w:color="auto"/>
        <w:left w:val="none" w:sz="0" w:space="0" w:color="auto"/>
        <w:bottom w:val="none" w:sz="0" w:space="0" w:color="auto"/>
        <w:right w:val="none" w:sz="0" w:space="0" w:color="auto"/>
      </w:divBdr>
    </w:div>
    <w:div w:id="1375078766">
      <w:bodyDiv w:val="1"/>
      <w:marLeft w:val="0"/>
      <w:marRight w:val="0"/>
      <w:marTop w:val="0"/>
      <w:marBottom w:val="0"/>
      <w:divBdr>
        <w:top w:val="none" w:sz="0" w:space="0" w:color="auto"/>
        <w:left w:val="none" w:sz="0" w:space="0" w:color="auto"/>
        <w:bottom w:val="none" w:sz="0" w:space="0" w:color="auto"/>
        <w:right w:val="none" w:sz="0" w:space="0" w:color="auto"/>
      </w:divBdr>
    </w:div>
    <w:div w:id="1462309465">
      <w:bodyDiv w:val="1"/>
      <w:marLeft w:val="0"/>
      <w:marRight w:val="0"/>
      <w:marTop w:val="0"/>
      <w:marBottom w:val="0"/>
      <w:divBdr>
        <w:top w:val="none" w:sz="0" w:space="0" w:color="auto"/>
        <w:left w:val="none" w:sz="0" w:space="0" w:color="auto"/>
        <w:bottom w:val="none" w:sz="0" w:space="0" w:color="auto"/>
        <w:right w:val="none" w:sz="0" w:space="0" w:color="auto"/>
      </w:divBdr>
    </w:div>
    <w:div w:id="1753355229">
      <w:bodyDiv w:val="1"/>
      <w:marLeft w:val="0"/>
      <w:marRight w:val="0"/>
      <w:marTop w:val="0"/>
      <w:marBottom w:val="0"/>
      <w:divBdr>
        <w:top w:val="none" w:sz="0" w:space="0" w:color="auto"/>
        <w:left w:val="none" w:sz="0" w:space="0" w:color="auto"/>
        <w:bottom w:val="none" w:sz="0" w:space="0" w:color="auto"/>
        <w:right w:val="none" w:sz="0" w:space="0" w:color="auto"/>
      </w:divBdr>
    </w:div>
    <w:div w:id="1816675525">
      <w:bodyDiv w:val="1"/>
      <w:marLeft w:val="0"/>
      <w:marRight w:val="0"/>
      <w:marTop w:val="0"/>
      <w:marBottom w:val="0"/>
      <w:divBdr>
        <w:top w:val="none" w:sz="0" w:space="0" w:color="auto"/>
        <w:left w:val="none" w:sz="0" w:space="0" w:color="auto"/>
        <w:bottom w:val="none" w:sz="0" w:space="0" w:color="auto"/>
        <w:right w:val="none" w:sz="0" w:space="0" w:color="auto"/>
      </w:divBdr>
    </w:div>
    <w:div w:id="2011061984">
      <w:bodyDiv w:val="1"/>
      <w:marLeft w:val="0"/>
      <w:marRight w:val="0"/>
      <w:marTop w:val="0"/>
      <w:marBottom w:val="0"/>
      <w:divBdr>
        <w:top w:val="none" w:sz="0" w:space="0" w:color="auto"/>
        <w:left w:val="none" w:sz="0" w:space="0" w:color="auto"/>
        <w:bottom w:val="none" w:sz="0" w:space="0" w:color="auto"/>
        <w:right w:val="none" w:sz="0" w:space="0" w:color="auto"/>
      </w:divBdr>
    </w:div>
    <w:div w:id="2096048185">
      <w:bodyDiv w:val="1"/>
      <w:marLeft w:val="0"/>
      <w:marRight w:val="0"/>
      <w:marTop w:val="0"/>
      <w:marBottom w:val="0"/>
      <w:divBdr>
        <w:top w:val="none" w:sz="0" w:space="0" w:color="auto"/>
        <w:left w:val="none" w:sz="0" w:space="0" w:color="auto"/>
        <w:bottom w:val="none" w:sz="0" w:space="0" w:color="auto"/>
        <w:right w:val="none" w:sz="0" w:space="0" w:color="auto"/>
      </w:divBdr>
    </w:div>
    <w:div w:id="21026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fbd81d-9fd2-4e3e-a410-19e2d7e34764" xsi:nil="true"/>
    <LeadAuditor xmlns="4566f2da-e2d1-4265-a169-b93521a80593" xsi:nil="true"/>
    <Client xmlns="4566f2da-e2d1-4265-a169-b93521a80593">GCC</Client>
    <lcf76f155ced4ddcb4097134ff3c332f xmlns="4566f2da-e2d1-4265-a169-b93521a80593">
      <Terms xmlns="http://schemas.microsoft.com/office/infopath/2007/PartnerControls"/>
    </lcf76f155ced4ddcb4097134ff3c332f>
    <Directorate xmlns="4566f2da-e2d1-4265-a169-b93521a805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3332E188E0A8458295F0274E35D2DD" ma:contentTypeVersion="17" ma:contentTypeDescription="Create a new document." ma:contentTypeScope="" ma:versionID="1d12cb908451d80074b0c741f2bf974a">
  <xsd:schema xmlns:xsd="http://www.w3.org/2001/XMLSchema" xmlns:xs="http://www.w3.org/2001/XMLSchema" xmlns:p="http://schemas.microsoft.com/office/2006/metadata/properties" xmlns:ns2="4566f2da-e2d1-4265-a169-b93521a80593" xmlns:ns3="69fbd81d-9fd2-4e3e-a410-19e2d7e34764" targetNamespace="http://schemas.microsoft.com/office/2006/metadata/properties" ma:root="true" ma:fieldsID="6a4372921c4e2b726039b7a46f195b77" ns2:_="" ns3:_="">
    <xsd:import namespace="4566f2da-e2d1-4265-a169-b93521a80593"/>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Client" minOccurs="0"/>
                <xsd:element ref="ns2:Directorate" minOccurs="0"/>
                <xsd:element ref="ns2:LeadAudito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6f2da-e2d1-4265-a169-b93521a80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lient" ma:index="14" nillable="true" ma:displayName="Client" ma:format="Dropdown" ma:internalName="Client">
      <xsd:simpleType>
        <xsd:union memberTypes="dms:Text">
          <xsd:simpleType>
            <xsd:restriction base="dms:Choice">
              <xsd:enumeration value="GCC"/>
              <xsd:enumeration value="City"/>
              <xsd:enumeration value="Stroud"/>
            </xsd:restriction>
          </xsd:simpleType>
        </xsd:union>
      </xsd:simpleType>
    </xsd:element>
    <xsd:element name="Directorate" ma:index="15" nillable="true" ma:displayName="Directorate" ma:format="Dropdown" ma:internalName="Directorate">
      <xsd:simpleType>
        <xsd:union memberTypes="dms:Text">
          <xsd:simpleType>
            <xsd:restriction base="dms:Choice">
              <xsd:enumeration value="Adults"/>
              <xsd:enumeration value="Childrens"/>
              <xsd:enumeration value="Community Safety"/>
              <xsd:enumeration value="Corporate Resources"/>
              <xsd:enumeration value="EEI"/>
            </xsd:restriction>
          </xsd:simpleType>
        </xsd:union>
      </xsd:simpleType>
    </xsd:element>
    <xsd:element name="LeadAuditor" ma:index="16" nillable="true" ma:displayName="Lead Auditor" ma:format="Dropdown" ma:internalName="LeadAuditor">
      <xsd:simpleType>
        <xsd:union memberTypes="dms:Text">
          <xsd:simpleType>
            <xsd:restriction base="dms:Choice">
              <xsd:enumeration value="Ben"/>
              <xsd:enumeration value="Gill"/>
              <xsd:enumeration value="Joe"/>
              <xsd:enumeration value="Naomi"/>
              <xsd:enumeration value="Ryan"/>
              <xsd:enumeration value="Paul R"/>
              <xsd:enumeration value="Sam"/>
            </xsd:restriction>
          </xsd:simpleType>
        </xsd:un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5fbf24a-9cff-4a49-9436-bd6dee90b0fb}"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F624B-DC7E-47C6-82ED-1B13DBD347F7}">
  <ds:schemaRefs>
    <ds:schemaRef ds:uri="http://schemas.openxmlformats.org/officeDocument/2006/bibliography"/>
  </ds:schemaRefs>
</ds:datastoreItem>
</file>

<file path=customXml/itemProps2.xml><?xml version="1.0" encoding="utf-8"?>
<ds:datastoreItem xmlns:ds="http://schemas.openxmlformats.org/officeDocument/2006/customXml" ds:itemID="{5F1853F2-BA7F-467C-8B38-D7606E6A859B}">
  <ds:schemaRefs>
    <ds:schemaRef ds:uri="http://schemas.microsoft.com/sharepoint/v3/contenttype/forms"/>
  </ds:schemaRefs>
</ds:datastoreItem>
</file>

<file path=customXml/itemProps3.xml><?xml version="1.0" encoding="utf-8"?>
<ds:datastoreItem xmlns:ds="http://schemas.openxmlformats.org/officeDocument/2006/customXml" ds:itemID="{590B5F81-CD2E-46BC-B0F5-1D63DC4F08AA}">
  <ds:schemaRefs>
    <ds:schemaRef ds:uri="69fbd81d-9fd2-4e3e-a410-19e2d7e34764"/>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4566f2da-e2d1-4265-a169-b93521a80593"/>
    <ds:schemaRef ds:uri="http://www.w3.org/XML/1998/namespace"/>
    <ds:schemaRef ds:uri="http://purl.org/dc/dcmitype/"/>
  </ds:schemaRefs>
</ds:datastoreItem>
</file>

<file path=customXml/itemProps4.xml><?xml version="1.0" encoding="utf-8"?>
<ds:datastoreItem xmlns:ds="http://schemas.openxmlformats.org/officeDocument/2006/customXml" ds:itemID="{D3F6D8A2-3CA0-411D-9A35-4AD98B1CB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6f2da-e2d1-4265-a169-b93521a80593"/>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Ben</dc:creator>
  <cp:lastModifiedBy>LODGE, Gill</cp:lastModifiedBy>
  <cp:revision>243</cp:revision>
  <dcterms:created xsi:type="dcterms:W3CDTF">2025-03-18T12:05:00Z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0x010100453332E188E0A8458295F0274E35D2DD</vt:lpwstr>
  </property>
  <property fmtid="{D5CDD505-2E9C-101B-9397-08002B2CF9AE}" pid="3" name="MediaServiceImageTags">
    <vt:lpwstr/>
  </property>
  <property fmtid="{D5CDD505-2E9C-101B-9397-08002B2CF9AE}" pid="4" name="ClassificationContentMarkingHeaderShapeIds">
    <vt:lpwstr>5aaf23a0,4bbe5751,1f7e6cc6</vt:lpwstr>
  </property>
  <property fmtid="{D5CDD505-2E9C-101B-9397-08002B2CF9AE}" pid="5" name="ClassificationContentMarkingHeaderFontProps">
    <vt:lpwstr>#000000,10,Calibri</vt:lpwstr>
  </property>
  <property fmtid="{D5CDD505-2E9C-101B-9397-08002B2CF9AE}" pid="6" name="ClassificationContentMarkingHeaderText">
    <vt:lpwstr>Official - Financial</vt:lpwstr>
  </property>
  <property fmtid="{D5CDD505-2E9C-101B-9397-08002B2CF9AE}" pid="7" name="MSIP_Label_04ac1526-9c6d-4857-86e4-a9ff5134728c_Enabled">
    <vt:lpwstr>true</vt:lpwstr>
  </property>
  <property fmtid="{D5CDD505-2E9C-101B-9397-08002B2CF9AE}" pid="8" name="MSIP_Label_04ac1526-9c6d-4857-86e4-a9ff5134728c_SetDate">
    <vt:lpwstr>2024-04-16T08:35:28Z</vt:lpwstr>
  </property>
  <property fmtid="{D5CDD505-2E9C-101B-9397-08002B2CF9AE}" pid="9" name="MSIP_Label_04ac1526-9c6d-4857-86e4-a9ff5134728c_Method">
    <vt:lpwstr>Standard</vt:lpwstr>
  </property>
  <property fmtid="{D5CDD505-2E9C-101B-9397-08002B2CF9AE}" pid="10" name="MSIP_Label_04ac1526-9c6d-4857-86e4-a9ff5134728c_Name">
    <vt:lpwstr>Of-Financial</vt:lpwstr>
  </property>
  <property fmtid="{D5CDD505-2E9C-101B-9397-08002B2CF9AE}" pid="11" name="MSIP_Label_04ac1526-9c6d-4857-86e4-a9ff5134728c_SiteId">
    <vt:lpwstr>5faec754-64e3-4014-9bcc-e72fc73ba312</vt:lpwstr>
  </property>
  <property fmtid="{D5CDD505-2E9C-101B-9397-08002B2CF9AE}" pid="12" name="MSIP_Label_04ac1526-9c6d-4857-86e4-a9ff5134728c_ActionId">
    <vt:lpwstr>0d4a1326-a274-4631-b0ef-4da47d3fd6aa</vt:lpwstr>
  </property>
  <property fmtid="{D5CDD505-2E9C-101B-9397-08002B2CF9AE}" pid="13" name="MSIP_Label_04ac1526-9c6d-4857-86e4-a9ff5134728c_ContentBits">
    <vt:lpwstr>1</vt:lpwstr>
  </property>
</Properties>
</file>