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C7E9B" w14:textId="77777777" w:rsidR="00324469" w:rsidRDefault="00324469" w:rsidP="00FE6B6B">
      <w:pPr>
        <w:pStyle w:val="Default"/>
        <w:ind w:left="-284" w:firstLine="284"/>
        <w:jc w:val="center"/>
        <w:rPr>
          <w:b/>
          <w:bCs/>
          <w:sz w:val="28"/>
          <w:szCs w:val="28"/>
        </w:rPr>
      </w:pPr>
      <w:r>
        <w:rPr>
          <w:b/>
          <w:bCs/>
          <w:noProof/>
          <w:sz w:val="28"/>
          <w:szCs w:val="28"/>
        </w:rPr>
        <w:drawing>
          <wp:inline distT="0" distB="0" distL="0" distR="0" wp14:anchorId="73C07E4E" wp14:editId="3ABA7CAF">
            <wp:extent cx="6619875" cy="11334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CC Logo Mast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23685" cy="1134127"/>
                    </a:xfrm>
                    <a:prstGeom prst="rect">
                      <a:avLst/>
                    </a:prstGeom>
                  </pic:spPr>
                </pic:pic>
              </a:graphicData>
            </a:graphic>
          </wp:inline>
        </w:drawing>
      </w:r>
    </w:p>
    <w:p w14:paraId="19A1CF6F" w14:textId="77777777" w:rsidR="00324469" w:rsidRDefault="00324469" w:rsidP="00F70927">
      <w:pPr>
        <w:pStyle w:val="Default"/>
        <w:ind w:left="-284"/>
        <w:rPr>
          <w:b/>
          <w:bCs/>
          <w:sz w:val="28"/>
          <w:szCs w:val="28"/>
        </w:rPr>
      </w:pPr>
    </w:p>
    <w:p w14:paraId="6F9FA7F8" w14:textId="4A9C2FA3" w:rsidR="00630EF0" w:rsidRPr="00D273A2" w:rsidRDefault="002E2036" w:rsidP="00630EF0">
      <w:pPr>
        <w:pStyle w:val="Default"/>
        <w:rPr>
          <w:color w:val="1F497D" w:themeColor="text2"/>
          <w:sz w:val="32"/>
          <w:szCs w:val="32"/>
          <w:u w:val="single"/>
        </w:rPr>
      </w:pPr>
      <w:r w:rsidRPr="3B954121">
        <w:rPr>
          <w:b/>
          <w:bCs/>
          <w:color w:val="1F497D" w:themeColor="text2"/>
          <w:sz w:val="32"/>
          <w:szCs w:val="32"/>
          <w:u w:val="single"/>
        </w:rPr>
        <w:t xml:space="preserve">Primary and Secondary </w:t>
      </w:r>
      <w:r w:rsidR="00630EF0" w:rsidRPr="3B954121">
        <w:rPr>
          <w:b/>
          <w:bCs/>
          <w:color w:val="1F497D" w:themeColor="text2"/>
          <w:sz w:val="32"/>
          <w:szCs w:val="32"/>
          <w:u w:val="single"/>
        </w:rPr>
        <w:t>School Budget Notes 20</w:t>
      </w:r>
      <w:r w:rsidR="00EC256F" w:rsidRPr="3B954121">
        <w:rPr>
          <w:b/>
          <w:bCs/>
          <w:color w:val="1F497D" w:themeColor="text2"/>
          <w:sz w:val="32"/>
          <w:szCs w:val="32"/>
          <w:u w:val="single"/>
        </w:rPr>
        <w:t>2</w:t>
      </w:r>
      <w:r w:rsidR="00742B7A">
        <w:rPr>
          <w:b/>
          <w:bCs/>
          <w:color w:val="1F497D" w:themeColor="text2"/>
          <w:sz w:val="32"/>
          <w:szCs w:val="32"/>
          <w:u w:val="single"/>
        </w:rPr>
        <w:t>6</w:t>
      </w:r>
      <w:r w:rsidR="001C1C51">
        <w:rPr>
          <w:b/>
          <w:bCs/>
          <w:color w:val="1F497D" w:themeColor="text2"/>
          <w:sz w:val="32"/>
          <w:szCs w:val="32"/>
          <w:u w:val="single"/>
        </w:rPr>
        <w:t>-</w:t>
      </w:r>
      <w:r w:rsidR="00E137E6" w:rsidRPr="3B954121">
        <w:rPr>
          <w:b/>
          <w:bCs/>
          <w:color w:val="1F497D" w:themeColor="text2"/>
          <w:sz w:val="32"/>
          <w:szCs w:val="32"/>
          <w:u w:val="single"/>
        </w:rPr>
        <w:t>2</w:t>
      </w:r>
      <w:r w:rsidR="00742B7A">
        <w:rPr>
          <w:b/>
          <w:bCs/>
          <w:color w:val="1F497D" w:themeColor="text2"/>
          <w:sz w:val="32"/>
          <w:szCs w:val="32"/>
          <w:u w:val="single"/>
        </w:rPr>
        <w:t>7</w:t>
      </w:r>
      <w:r w:rsidR="00630EF0" w:rsidRPr="3B954121">
        <w:rPr>
          <w:b/>
          <w:bCs/>
          <w:color w:val="1F497D" w:themeColor="text2"/>
          <w:sz w:val="32"/>
          <w:szCs w:val="32"/>
          <w:u w:val="single"/>
        </w:rPr>
        <w:t xml:space="preserve"> </w:t>
      </w:r>
    </w:p>
    <w:sdt>
      <w:sdtPr>
        <w:rPr>
          <w:rFonts w:asciiTheme="minorHAnsi" w:eastAsiaTheme="minorEastAsia" w:hAnsiTheme="minorHAnsi" w:cstheme="minorBidi"/>
          <w:b w:val="0"/>
          <w:bCs w:val="0"/>
          <w:color w:val="auto"/>
          <w:sz w:val="22"/>
          <w:szCs w:val="22"/>
          <w:lang w:val="en-GB" w:eastAsia="en-GB"/>
        </w:rPr>
        <w:id w:val="1638679690"/>
        <w:docPartObj>
          <w:docPartGallery w:val="Table of Contents"/>
          <w:docPartUnique/>
        </w:docPartObj>
      </w:sdtPr>
      <w:sdtEndPr>
        <w:rPr>
          <w:sz w:val="24"/>
          <w:szCs w:val="24"/>
        </w:rPr>
      </w:sdtEndPr>
      <w:sdtContent>
        <w:p w14:paraId="5AFBBC58" w14:textId="77777777" w:rsidR="00106A13" w:rsidRPr="00D273A2" w:rsidRDefault="00106A13" w:rsidP="3B954121">
          <w:pPr>
            <w:pStyle w:val="TOCHeading"/>
            <w:tabs>
              <w:tab w:val="left" w:pos="4320"/>
            </w:tabs>
            <w:rPr>
              <w:rFonts w:ascii="Arial" w:eastAsiaTheme="minorEastAsia" w:hAnsi="Arial" w:cs="Arial"/>
              <w:color w:val="1F497D" w:themeColor="text2"/>
              <w:lang w:val="en-GB" w:eastAsia="en-GB"/>
            </w:rPr>
          </w:pPr>
          <w:r w:rsidRPr="3B954121">
            <w:rPr>
              <w:rFonts w:ascii="Arial" w:eastAsiaTheme="minorEastAsia" w:hAnsi="Arial" w:cs="Arial"/>
              <w:color w:val="1F497D" w:themeColor="text2"/>
              <w:lang w:val="en-GB" w:eastAsia="en-GB"/>
            </w:rPr>
            <w:t>Contents</w:t>
          </w:r>
          <w:r>
            <w:tab/>
          </w:r>
        </w:p>
        <w:p w14:paraId="06756180" w14:textId="77777777" w:rsidR="00102DF9" w:rsidRPr="00533557" w:rsidRDefault="00102DF9" w:rsidP="00102DF9">
          <w:pPr>
            <w:rPr>
              <w:rFonts w:ascii="Arial" w:hAnsi="Arial" w:cs="Arial"/>
              <w:sz w:val="24"/>
              <w:szCs w:val="24"/>
              <w:lang w:val="en-US" w:eastAsia="ja-JP"/>
            </w:rPr>
          </w:pPr>
        </w:p>
        <w:p w14:paraId="342D8356" w14:textId="02A821B1" w:rsidR="008D0C6C" w:rsidRDefault="00A32118">
          <w:pPr>
            <w:pStyle w:val="TOC1"/>
            <w:rPr>
              <w:noProof/>
              <w:kern w:val="2"/>
              <w:sz w:val="24"/>
              <w:szCs w:val="24"/>
              <w14:ligatures w14:val="standardContextual"/>
            </w:rPr>
          </w:pPr>
          <w:r w:rsidRPr="00664811">
            <w:rPr>
              <w:rFonts w:ascii="Arial" w:hAnsi="Arial" w:cs="Arial"/>
              <w:sz w:val="24"/>
              <w:szCs w:val="24"/>
            </w:rPr>
            <w:fldChar w:fldCharType="begin"/>
          </w:r>
          <w:r w:rsidR="00106A13" w:rsidRPr="00664811">
            <w:rPr>
              <w:rFonts w:ascii="Arial" w:hAnsi="Arial" w:cs="Arial"/>
              <w:sz w:val="24"/>
              <w:szCs w:val="24"/>
            </w:rPr>
            <w:instrText>TOC \o "1-3" \h \z \u</w:instrText>
          </w:r>
          <w:r w:rsidRPr="00664811">
            <w:rPr>
              <w:rFonts w:ascii="Arial" w:hAnsi="Arial" w:cs="Arial"/>
              <w:sz w:val="24"/>
              <w:szCs w:val="24"/>
            </w:rPr>
            <w:fldChar w:fldCharType="separate"/>
          </w:r>
          <w:hyperlink w:anchor="_Toc222471249" w:history="1">
            <w:r w:rsidR="008D0C6C" w:rsidRPr="008A3A16">
              <w:rPr>
                <w:rStyle w:val="Hyperlink"/>
                <w:rFonts w:ascii="Arial" w:hAnsi="Arial" w:cs="Arial"/>
                <w:noProof/>
              </w:rPr>
              <w:t>1.</w:t>
            </w:r>
            <w:r w:rsidR="008D0C6C">
              <w:rPr>
                <w:noProof/>
                <w:kern w:val="2"/>
                <w:sz w:val="24"/>
                <w:szCs w:val="24"/>
                <w14:ligatures w14:val="standardContextual"/>
              </w:rPr>
              <w:tab/>
            </w:r>
            <w:r w:rsidR="008D0C6C" w:rsidRPr="008A3A16">
              <w:rPr>
                <w:rStyle w:val="Hyperlink"/>
                <w:rFonts w:ascii="Arial" w:hAnsi="Arial" w:cs="Arial"/>
                <w:noProof/>
              </w:rPr>
              <w:t>Introduction</w:t>
            </w:r>
            <w:r w:rsidR="008D0C6C">
              <w:rPr>
                <w:noProof/>
                <w:webHidden/>
              </w:rPr>
              <w:tab/>
            </w:r>
            <w:r w:rsidR="008D0C6C">
              <w:rPr>
                <w:noProof/>
                <w:webHidden/>
              </w:rPr>
              <w:fldChar w:fldCharType="begin"/>
            </w:r>
            <w:r w:rsidR="008D0C6C">
              <w:rPr>
                <w:noProof/>
                <w:webHidden/>
              </w:rPr>
              <w:instrText xml:space="preserve"> PAGEREF _Toc222471249 \h </w:instrText>
            </w:r>
            <w:r w:rsidR="008D0C6C">
              <w:rPr>
                <w:noProof/>
                <w:webHidden/>
              </w:rPr>
            </w:r>
            <w:r w:rsidR="008D0C6C">
              <w:rPr>
                <w:noProof/>
                <w:webHidden/>
              </w:rPr>
              <w:fldChar w:fldCharType="separate"/>
            </w:r>
            <w:r w:rsidR="008D0C6C">
              <w:rPr>
                <w:noProof/>
                <w:webHidden/>
              </w:rPr>
              <w:t>1</w:t>
            </w:r>
            <w:r w:rsidR="008D0C6C">
              <w:rPr>
                <w:noProof/>
                <w:webHidden/>
              </w:rPr>
              <w:fldChar w:fldCharType="end"/>
            </w:r>
          </w:hyperlink>
        </w:p>
        <w:p w14:paraId="511448D7" w14:textId="1FE905D9" w:rsidR="008D0C6C" w:rsidRDefault="008D0C6C">
          <w:pPr>
            <w:pStyle w:val="TOC1"/>
            <w:rPr>
              <w:noProof/>
              <w:kern w:val="2"/>
              <w:sz w:val="24"/>
              <w:szCs w:val="24"/>
              <w14:ligatures w14:val="standardContextual"/>
            </w:rPr>
          </w:pPr>
          <w:hyperlink w:anchor="_Toc222471250" w:history="1">
            <w:r w:rsidRPr="008A3A16">
              <w:rPr>
                <w:rStyle w:val="Hyperlink"/>
                <w:rFonts w:ascii="Arial" w:hAnsi="Arial" w:cs="Arial"/>
                <w:noProof/>
              </w:rPr>
              <w:t>2.</w:t>
            </w:r>
            <w:r>
              <w:rPr>
                <w:noProof/>
                <w:kern w:val="2"/>
                <w:sz w:val="24"/>
                <w:szCs w:val="24"/>
                <w14:ligatures w14:val="standardContextual"/>
              </w:rPr>
              <w:tab/>
            </w:r>
            <w:r w:rsidRPr="008A3A16">
              <w:rPr>
                <w:rStyle w:val="Hyperlink"/>
                <w:rFonts w:ascii="Arial" w:hAnsi="Arial" w:cs="Arial"/>
                <w:noProof/>
              </w:rPr>
              <w:t>Formula Factors and Unit Values</w:t>
            </w:r>
            <w:r>
              <w:rPr>
                <w:noProof/>
                <w:webHidden/>
              </w:rPr>
              <w:tab/>
            </w:r>
            <w:r>
              <w:rPr>
                <w:noProof/>
                <w:webHidden/>
              </w:rPr>
              <w:fldChar w:fldCharType="begin"/>
            </w:r>
            <w:r>
              <w:rPr>
                <w:noProof/>
                <w:webHidden/>
              </w:rPr>
              <w:instrText xml:space="preserve"> PAGEREF _Toc222471250 \h </w:instrText>
            </w:r>
            <w:r>
              <w:rPr>
                <w:noProof/>
                <w:webHidden/>
              </w:rPr>
            </w:r>
            <w:r>
              <w:rPr>
                <w:noProof/>
                <w:webHidden/>
              </w:rPr>
              <w:fldChar w:fldCharType="separate"/>
            </w:r>
            <w:r>
              <w:rPr>
                <w:noProof/>
                <w:webHidden/>
              </w:rPr>
              <w:t>2</w:t>
            </w:r>
            <w:r>
              <w:rPr>
                <w:noProof/>
                <w:webHidden/>
              </w:rPr>
              <w:fldChar w:fldCharType="end"/>
            </w:r>
          </w:hyperlink>
        </w:p>
        <w:p w14:paraId="123B4EB4" w14:textId="07247BBB" w:rsidR="008D0C6C" w:rsidRDefault="008D0C6C">
          <w:pPr>
            <w:pStyle w:val="TOC1"/>
            <w:rPr>
              <w:noProof/>
              <w:kern w:val="2"/>
              <w:sz w:val="24"/>
              <w:szCs w:val="24"/>
              <w14:ligatures w14:val="standardContextual"/>
            </w:rPr>
          </w:pPr>
          <w:hyperlink w:anchor="_Toc222471251" w:history="1">
            <w:r w:rsidRPr="008A3A16">
              <w:rPr>
                <w:rStyle w:val="Hyperlink"/>
                <w:rFonts w:ascii="Arial" w:hAnsi="Arial" w:cs="Arial"/>
                <w:noProof/>
              </w:rPr>
              <w:t>3.</w:t>
            </w:r>
            <w:r>
              <w:rPr>
                <w:noProof/>
                <w:kern w:val="2"/>
                <w:sz w:val="24"/>
                <w:szCs w:val="24"/>
                <w14:ligatures w14:val="standardContextual"/>
              </w:rPr>
              <w:tab/>
            </w:r>
            <w:r w:rsidRPr="008A3A16">
              <w:rPr>
                <w:rStyle w:val="Hyperlink"/>
                <w:rFonts w:ascii="Arial" w:hAnsi="Arial" w:cs="Arial"/>
                <w:noProof/>
              </w:rPr>
              <w:t>Area Cost Adjustment (ACA)</w:t>
            </w:r>
            <w:r>
              <w:rPr>
                <w:noProof/>
                <w:webHidden/>
              </w:rPr>
              <w:tab/>
            </w:r>
            <w:r>
              <w:rPr>
                <w:noProof/>
                <w:webHidden/>
              </w:rPr>
              <w:fldChar w:fldCharType="begin"/>
            </w:r>
            <w:r>
              <w:rPr>
                <w:noProof/>
                <w:webHidden/>
              </w:rPr>
              <w:instrText xml:space="preserve"> PAGEREF _Toc222471251 \h </w:instrText>
            </w:r>
            <w:r>
              <w:rPr>
                <w:noProof/>
                <w:webHidden/>
              </w:rPr>
            </w:r>
            <w:r>
              <w:rPr>
                <w:noProof/>
                <w:webHidden/>
              </w:rPr>
              <w:fldChar w:fldCharType="separate"/>
            </w:r>
            <w:r>
              <w:rPr>
                <w:noProof/>
                <w:webHidden/>
              </w:rPr>
              <w:t>6</w:t>
            </w:r>
            <w:r>
              <w:rPr>
                <w:noProof/>
                <w:webHidden/>
              </w:rPr>
              <w:fldChar w:fldCharType="end"/>
            </w:r>
          </w:hyperlink>
        </w:p>
        <w:p w14:paraId="084706C4" w14:textId="537DF991" w:rsidR="008D0C6C" w:rsidRDefault="008D0C6C">
          <w:pPr>
            <w:pStyle w:val="TOC1"/>
            <w:rPr>
              <w:noProof/>
              <w:kern w:val="2"/>
              <w:sz w:val="24"/>
              <w:szCs w:val="24"/>
              <w14:ligatures w14:val="standardContextual"/>
            </w:rPr>
          </w:pPr>
          <w:hyperlink w:anchor="_Toc222471252" w:history="1">
            <w:r w:rsidRPr="008A3A16">
              <w:rPr>
                <w:rStyle w:val="Hyperlink"/>
                <w:rFonts w:ascii="Arial" w:hAnsi="Arial" w:cs="Arial"/>
                <w:noProof/>
              </w:rPr>
              <w:t>4.</w:t>
            </w:r>
            <w:r>
              <w:rPr>
                <w:noProof/>
                <w:kern w:val="2"/>
                <w:sz w:val="24"/>
                <w:szCs w:val="24"/>
                <w14:ligatures w14:val="standardContextual"/>
              </w:rPr>
              <w:tab/>
            </w:r>
            <w:r w:rsidRPr="008A3A16">
              <w:rPr>
                <w:rStyle w:val="Hyperlink"/>
                <w:rFonts w:ascii="Arial" w:hAnsi="Arial" w:cs="Arial"/>
                <w:noProof/>
              </w:rPr>
              <w:t>Minimum Per Pupil Level (MPPL)</w:t>
            </w:r>
            <w:r>
              <w:rPr>
                <w:noProof/>
                <w:webHidden/>
              </w:rPr>
              <w:tab/>
            </w:r>
            <w:r>
              <w:rPr>
                <w:noProof/>
                <w:webHidden/>
              </w:rPr>
              <w:fldChar w:fldCharType="begin"/>
            </w:r>
            <w:r>
              <w:rPr>
                <w:noProof/>
                <w:webHidden/>
              </w:rPr>
              <w:instrText xml:space="preserve"> PAGEREF _Toc222471252 \h </w:instrText>
            </w:r>
            <w:r>
              <w:rPr>
                <w:noProof/>
                <w:webHidden/>
              </w:rPr>
            </w:r>
            <w:r>
              <w:rPr>
                <w:noProof/>
                <w:webHidden/>
              </w:rPr>
              <w:fldChar w:fldCharType="separate"/>
            </w:r>
            <w:r>
              <w:rPr>
                <w:noProof/>
                <w:webHidden/>
              </w:rPr>
              <w:t>6</w:t>
            </w:r>
            <w:r>
              <w:rPr>
                <w:noProof/>
                <w:webHidden/>
              </w:rPr>
              <w:fldChar w:fldCharType="end"/>
            </w:r>
          </w:hyperlink>
        </w:p>
        <w:p w14:paraId="27DB4999" w14:textId="6EFE37C5" w:rsidR="008D0C6C" w:rsidRDefault="008D0C6C">
          <w:pPr>
            <w:pStyle w:val="TOC1"/>
            <w:rPr>
              <w:noProof/>
              <w:kern w:val="2"/>
              <w:sz w:val="24"/>
              <w:szCs w:val="24"/>
              <w14:ligatures w14:val="standardContextual"/>
            </w:rPr>
          </w:pPr>
          <w:hyperlink w:anchor="_Toc222471253" w:history="1">
            <w:r w:rsidRPr="008A3A16">
              <w:rPr>
                <w:rStyle w:val="Hyperlink"/>
                <w:rFonts w:ascii="Arial" w:hAnsi="Arial" w:cs="Arial"/>
                <w:noProof/>
              </w:rPr>
              <w:t>5.</w:t>
            </w:r>
            <w:r>
              <w:rPr>
                <w:noProof/>
                <w:kern w:val="2"/>
                <w:sz w:val="24"/>
                <w:szCs w:val="24"/>
                <w14:ligatures w14:val="standardContextual"/>
              </w:rPr>
              <w:tab/>
            </w:r>
            <w:r w:rsidRPr="008A3A16">
              <w:rPr>
                <w:rStyle w:val="Hyperlink"/>
                <w:rFonts w:ascii="Arial" w:hAnsi="Arial" w:cs="Arial"/>
                <w:noProof/>
              </w:rPr>
              <w:t>Minimum Funding Guarantee Budget (MFG)</w:t>
            </w:r>
            <w:r>
              <w:rPr>
                <w:noProof/>
                <w:webHidden/>
              </w:rPr>
              <w:tab/>
            </w:r>
            <w:r>
              <w:rPr>
                <w:noProof/>
                <w:webHidden/>
              </w:rPr>
              <w:fldChar w:fldCharType="begin"/>
            </w:r>
            <w:r>
              <w:rPr>
                <w:noProof/>
                <w:webHidden/>
              </w:rPr>
              <w:instrText xml:space="preserve"> PAGEREF _Toc222471253 \h </w:instrText>
            </w:r>
            <w:r>
              <w:rPr>
                <w:noProof/>
                <w:webHidden/>
              </w:rPr>
            </w:r>
            <w:r>
              <w:rPr>
                <w:noProof/>
                <w:webHidden/>
              </w:rPr>
              <w:fldChar w:fldCharType="separate"/>
            </w:r>
            <w:r>
              <w:rPr>
                <w:noProof/>
                <w:webHidden/>
              </w:rPr>
              <w:t>6</w:t>
            </w:r>
            <w:r>
              <w:rPr>
                <w:noProof/>
                <w:webHidden/>
              </w:rPr>
              <w:fldChar w:fldCharType="end"/>
            </w:r>
          </w:hyperlink>
        </w:p>
        <w:p w14:paraId="22A3357F" w14:textId="22812614" w:rsidR="008D0C6C" w:rsidRDefault="008D0C6C">
          <w:pPr>
            <w:pStyle w:val="TOC1"/>
            <w:rPr>
              <w:noProof/>
              <w:kern w:val="2"/>
              <w:sz w:val="24"/>
              <w:szCs w:val="24"/>
              <w14:ligatures w14:val="standardContextual"/>
            </w:rPr>
          </w:pPr>
          <w:hyperlink w:anchor="_Toc222471254" w:history="1">
            <w:r w:rsidRPr="008A3A16">
              <w:rPr>
                <w:rStyle w:val="Hyperlink"/>
                <w:rFonts w:ascii="Arial" w:hAnsi="Arial" w:cs="Arial"/>
                <w:noProof/>
              </w:rPr>
              <w:t>6.</w:t>
            </w:r>
            <w:r>
              <w:rPr>
                <w:noProof/>
                <w:kern w:val="2"/>
                <w:sz w:val="24"/>
                <w:szCs w:val="24"/>
                <w14:ligatures w14:val="standardContextual"/>
              </w:rPr>
              <w:tab/>
            </w:r>
            <w:r w:rsidRPr="008A3A16">
              <w:rPr>
                <w:rStyle w:val="Hyperlink"/>
                <w:rFonts w:ascii="Arial" w:hAnsi="Arial" w:cs="Arial"/>
                <w:noProof/>
              </w:rPr>
              <w:t>De-Delegation (applies to maintained schools only)</w:t>
            </w:r>
            <w:r>
              <w:rPr>
                <w:noProof/>
                <w:webHidden/>
              </w:rPr>
              <w:tab/>
            </w:r>
            <w:r>
              <w:rPr>
                <w:noProof/>
                <w:webHidden/>
              </w:rPr>
              <w:fldChar w:fldCharType="begin"/>
            </w:r>
            <w:r>
              <w:rPr>
                <w:noProof/>
                <w:webHidden/>
              </w:rPr>
              <w:instrText xml:space="preserve"> PAGEREF _Toc222471254 \h </w:instrText>
            </w:r>
            <w:r>
              <w:rPr>
                <w:noProof/>
                <w:webHidden/>
              </w:rPr>
            </w:r>
            <w:r>
              <w:rPr>
                <w:noProof/>
                <w:webHidden/>
              </w:rPr>
              <w:fldChar w:fldCharType="separate"/>
            </w:r>
            <w:r>
              <w:rPr>
                <w:noProof/>
                <w:webHidden/>
              </w:rPr>
              <w:t>6</w:t>
            </w:r>
            <w:r>
              <w:rPr>
                <w:noProof/>
                <w:webHidden/>
              </w:rPr>
              <w:fldChar w:fldCharType="end"/>
            </w:r>
          </w:hyperlink>
        </w:p>
        <w:p w14:paraId="6A48047A" w14:textId="0F7E6209" w:rsidR="008D0C6C" w:rsidRDefault="008D0C6C">
          <w:pPr>
            <w:pStyle w:val="TOC1"/>
            <w:rPr>
              <w:noProof/>
              <w:kern w:val="2"/>
              <w:sz w:val="24"/>
              <w:szCs w:val="24"/>
              <w14:ligatures w14:val="standardContextual"/>
            </w:rPr>
          </w:pPr>
          <w:hyperlink w:anchor="_Toc222471255" w:history="1">
            <w:r w:rsidRPr="008A3A16">
              <w:rPr>
                <w:rStyle w:val="Hyperlink"/>
                <w:rFonts w:ascii="Arial" w:hAnsi="Arial" w:cs="Arial"/>
                <w:noProof/>
              </w:rPr>
              <w:t>7.</w:t>
            </w:r>
            <w:r>
              <w:rPr>
                <w:noProof/>
                <w:kern w:val="2"/>
                <w:sz w:val="24"/>
                <w:szCs w:val="24"/>
                <w14:ligatures w14:val="standardContextual"/>
              </w:rPr>
              <w:tab/>
            </w:r>
            <w:r w:rsidRPr="008A3A16">
              <w:rPr>
                <w:rStyle w:val="Hyperlink"/>
                <w:rFonts w:ascii="Arial" w:hAnsi="Arial" w:cs="Arial"/>
                <w:noProof/>
              </w:rPr>
              <w:t>Copyright Licences</w:t>
            </w:r>
            <w:r>
              <w:rPr>
                <w:noProof/>
                <w:webHidden/>
              </w:rPr>
              <w:tab/>
            </w:r>
            <w:r>
              <w:rPr>
                <w:noProof/>
                <w:webHidden/>
              </w:rPr>
              <w:fldChar w:fldCharType="begin"/>
            </w:r>
            <w:r>
              <w:rPr>
                <w:noProof/>
                <w:webHidden/>
              </w:rPr>
              <w:instrText xml:space="preserve"> PAGEREF _Toc222471255 \h </w:instrText>
            </w:r>
            <w:r>
              <w:rPr>
                <w:noProof/>
                <w:webHidden/>
              </w:rPr>
            </w:r>
            <w:r>
              <w:rPr>
                <w:noProof/>
                <w:webHidden/>
              </w:rPr>
              <w:fldChar w:fldCharType="separate"/>
            </w:r>
            <w:r>
              <w:rPr>
                <w:noProof/>
                <w:webHidden/>
              </w:rPr>
              <w:t>7</w:t>
            </w:r>
            <w:r>
              <w:rPr>
                <w:noProof/>
                <w:webHidden/>
              </w:rPr>
              <w:fldChar w:fldCharType="end"/>
            </w:r>
          </w:hyperlink>
        </w:p>
        <w:p w14:paraId="67E0B720" w14:textId="1A6D2CE6" w:rsidR="008D0C6C" w:rsidRDefault="008D0C6C">
          <w:pPr>
            <w:pStyle w:val="TOC1"/>
            <w:rPr>
              <w:noProof/>
              <w:kern w:val="2"/>
              <w:sz w:val="24"/>
              <w:szCs w:val="24"/>
              <w14:ligatures w14:val="standardContextual"/>
            </w:rPr>
          </w:pPr>
          <w:hyperlink w:anchor="_Toc222471256" w:history="1">
            <w:r w:rsidRPr="008A3A16">
              <w:rPr>
                <w:rStyle w:val="Hyperlink"/>
                <w:rFonts w:ascii="Arial" w:hAnsi="Arial" w:cs="Arial"/>
                <w:noProof/>
              </w:rPr>
              <w:t>8.</w:t>
            </w:r>
            <w:r>
              <w:rPr>
                <w:noProof/>
                <w:kern w:val="2"/>
                <w:sz w:val="24"/>
                <w:szCs w:val="24"/>
                <w14:ligatures w14:val="standardContextual"/>
              </w:rPr>
              <w:tab/>
            </w:r>
            <w:r w:rsidRPr="008A3A16">
              <w:rPr>
                <w:rStyle w:val="Hyperlink"/>
                <w:rFonts w:ascii="Arial" w:hAnsi="Arial" w:cs="Arial"/>
                <w:noProof/>
              </w:rPr>
              <w:t>Growth Fund</w:t>
            </w:r>
            <w:r>
              <w:rPr>
                <w:noProof/>
                <w:webHidden/>
              </w:rPr>
              <w:tab/>
            </w:r>
            <w:r>
              <w:rPr>
                <w:noProof/>
                <w:webHidden/>
              </w:rPr>
              <w:fldChar w:fldCharType="begin"/>
            </w:r>
            <w:r>
              <w:rPr>
                <w:noProof/>
                <w:webHidden/>
              </w:rPr>
              <w:instrText xml:space="preserve"> PAGEREF _Toc222471256 \h </w:instrText>
            </w:r>
            <w:r>
              <w:rPr>
                <w:noProof/>
                <w:webHidden/>
              </w:rPr>
            </w:r>
            <w:r>
              <w:rPr>
                <w:noProof/>
                <w:webHidden/>
              </w:rPr>
              <w:fldChar w:fldCharType="separate"/>
            </w:r>
            <w:r>
              <w:rPr>
                <w:noProof/>
                <w:webHidden/>
              </w:rPr>
              <w:t>8</w:t>
            </w:r>
            <w:r>
              <w:rPr>
                <w:noProof/>
                <w:webHidden/>
              </w:rPr>
              <w:fldChar w:fldCharType="end"/>
            </w:r>
          </w:hyperlink>
        </w:p>
        <w:p w14:paraId="32DE3BAA" w14:textId="2B8F0F82" w:rsidR="008D0C6C" w:rsidRDefault="008D0C6C">
          <w:pPr>
            <w:pStyle w:val="TOC1"/>
            <w:rPr>
              <w:noProof/>
              <w:kern w:val="2"/>
              <w:sz w:val="24"/>
              <w:szCs w:val="24"/>
              <w14:ligatures w14:val="standardContextual"/>
            </w:rPr>
          </w:pPr>
          <w:hyperlink w:anchor="_Toc222471257" w:history="1">
            <w:r w:rsidRPr="008A3A16">
              <w:rPr>
                <w:rStyle w:val="Hyperlink"/>
                <w:rFonts w:ascii="Arial" w:hAnsi="Arial" w:cs="Arial"/>
                <w:noProof/>
              </w:rPr>
              <w:t>9.</w:t>
            </w:r>
            <w:r>
              <w:rPr>
                <w:noProof/>
                <w:kern w:val="2"/>
                <w:sz w:val="24"/>
                <w:szCs w:val="24"/>
                <w14:ligatures w14:val="standardContextual"/>
              </w:rPr>
              <w:tab/>
            </w:r>
            <w:r w:rsidRPr="008A3A16">
              <w:rPr>
                <w:rStyle w:val="Hyperlink"/>
                <w:rFonts w:ascii="Arial" w:hAnsi="Arial" w:cs="Arial"/>
                <w:noProof/>
              </w:rPr>
              <w:t>High Needs Funding – Mainstream Settings</w:t>
            </w:r>
            <w:r>
              <w:rPr>
                <w:noProof/>
                <w:webHidden/>
              </w:rPr>
              <w:tab/>
            </w:r>
            <w:r>
              <w:rPr>
                <w:noProof/>
                <w:webHidden/>
              </w:rPr>
              <w:fldChar w:fldCharType="begin"/>
            </w:r>
            <w:r>
              <w:rPr>
                <w:noProof/>
                <w:webHidden/>
              </w:rPr>
              <w:instrText xml:space="preserve"> PAGEREF _Toc222471257 \h </w:instrText>
            </w:r>
            <w:r>
              <w:rPr>
                <w:noProof/>
                <w:webHidden/>
              </w:rPr>
            </w:r>
            <w:r>
              <w:rPr>
                <w:noProof/>
                <w:webHidden/>
              </w:rPr>
              <w:fldChar w:fldCharType="separate"/>
            </w:r>
            <w:r>
              <w:rPr>
                <w:noProof/>
                <w:webHidden/>
              </w:rPr>
              <w:t>8</w:t>
            </w:r>
            <w:r>
              <w:rPr>
                <w:noProof/>
                <w:webHidden/>
              </w:rPr>
              <w:fldChar w:fldCharType="end"/>
            </w:r>
          </w:hyperlink>
        </w:p>
        <w:p w14:paraId="12A3B7F6" w14:textId="4111F10B" w:rsidR="008D0C6C" w:rsidRDefault="008D0C6C">
          <w:pPr>
            <w:pStyle w:val="TOC1"/>
            <w:rPr>
              <w:noProof/>
              <w:kern w:val="2"/>
              <w:sz w:val="24"/>
              <w:szCs w:val="24"/>
              <w14:ligatures w14:val="standardContextual"/>
            </w:rPr>
          </w:pPr>
          <w:hyperlink w:anchor="_Toc222471258" w:history="1">
            <w:r w:rsidRPr="008A3A16">
              <w:rPr>
                <w:rStyle w:val="Hyperlink"/>
                <w:rFonts w:ascii="Arial" w:hAnsi="Arial" w:cs="Arial"/>
                <w:noProof/>
              </w:rPr>
              <w:t>10.</w:t>
            </w:r>
            <w:r>
              <w:rPr>
                <w:noProof/>
                <w:kern w:val="2"/>
                <w:sz w:val="24"/>
                <w:szCs w:val="24"/>
                <w14:ligatures w14:val="standardContextual"/>
              </w:rPr>
              <w:tab/>
            </w:r>
            <w:r w:rsidRPr="008A3A16">
              <w:rPr>
                <w:rStyle w:val="Hyperlink"/>
                <w:rFonts w:ascii="Arial" w:hAnsi="Arial" w:cs="Arial"/>
                <w:noProof/>
              </w:rPr>
              <w:t>SEN High Needs Funding – Special Centres (SC)</w:t>
            </w:r>
            <w:r>
              <w:rPr>
                <w:noProof/>
                <w:webHidden/>
              </w:rPr>
              <w:tab/>
            </w:r>
            <w:r>
              <w:rPr>
                <w:noProof/>
                <w:webHidden/>
              </w:rPr>
              <w:fldChar w:fldCharType="begin"/>
            </w:r>
            <w:r>
              <w:rPr>
                <w:noProof/>
                <w:webHidden/>
              </w:rPr>
              <w:instrText xml:space="preserve"> PAGEREF _Toc222471258 \h </w:instrText>
            </w:r>
            <w:r>
              <w:rPr>
                <w:noProof/>
                <w:webHidden/>
              </w:rPr>
            </w:r>
            <w:r>
              <w:rPr>
                <w:noProof/>
                <w:webHidden/>
              </w:rPr>
              <w:fldChar w:fldCharType="separate"/>
            </w:r>
            <w:r>
              <w:rPr>
                <w:noProof/>
                <w:webHidden/>
              </w:rPr>
              <w:t>11</w:t>
            </w:r>
            <w:r>
              <w:rPr>
                <w:noProof/>
                <w:webHidden/>
              </w:rPr>
              <w:fldChar w:fldCharType="end"/>
            </w:r>
          </w:hyperlink>
        </w:p>
        <w:p w14:paraId="2DD50B9F" w14:textId="3A8AC835" w:rsidR="008D0C6C" w:rsidRDefault="008D0C6C">
          <w:pPr>
            <w:pStyle w:val="TOC1"/>
            <w:rPr>
              <w:noProof/>
              <w:kern w:val="2"/>
              <w:sz w:val="24"/>
              <w:szCs w:val="24"/>
              <w14:ligatures w14:val="standardContextual"/>
            </w:rPr>
          </w:pPr>
          <w:hyperlink w:anchor="_Toc222471259" w:history="1">
            <w:r w:rsidRPr="008A3A16">
              <w:rPr>
                <w:rStyle w:val="Hyperlink"/>
                <w:rFonts w:ascii="Arial" w:hAnsi="Arial" w:cs="Arial"/>
                <w:noProof/>
              </w:rPr>
              <w:t>11.</w:t>
            </w:r>
            <w:r>
              <w:rPr>
                <w:noProof/>
                <w:kern w:val="2"/>
                <w:sz w:val="24"/>
                <w:szCs w:val="24"/>
                <w14:ligatures w14:val="standardContextual"/>
              </w:rPr>
              <w:tab/>
            </w:r>
            <w:r w:rsidRPr="008A3A16">
              <w:rPr>
                <w:rStyle w:val="Hyperlink"/>
                <w:rFonts w:ascii="Arial" w:hAnsi="Arial" w:cs="Arial"/>
                <w:noProof/>
              </w:rPr>
              <w:t>Revenue/Capital Grants</w:t>
            </w:r>
            <w:r>
              <w:rPr>
                <w:noProof/>
                <w:webHidden/>
              </w:rPr>
              <w:tab/>
            </w:r>
            <w:r>
              <w:rPr>
                <w:noProof/>
                <w:webHidden/>
              </w:rPr>
              <w:fldChar w:fldCharType="begin"/>
            </w:r>
            <w:r>
              <w:rPr>
                <w:noProof/>
                <w:webHidden/>
              </w:rPr>
              <w:instrText xml:space="preserve"> PAGEREF _Toc222471259 \h </w:instrText>
            </w:r>
            <w:r>
              <w:rPr>
                <w:noProof/>
                <w:webHidden/>
              </w:rPr>
            </w:r>
            <w:r>
              <w:rPr>
                <w:noProof/>
                <w:webHidden/>
              </w:rPr>
              <w:fldChar w:fldCharType="separate"/>
            </w:r>
            <w:r>
              <w:rPr>
                <w:noProof/>
                <w:webHidden/>
              </w:rPr>
              <w:t>11</w:t>
            </w:r>
            <w:r>
              <w:rPr>
                <w:noProof/>
                <w:webHidden/>
              </w:rPr>
              <w:fldChar w:fldCharType="end"/>
            </w:r>
          </w:hyperlink>
        </w:p>
        <w:p w14:paraId="612B8F87" w14:textId="2E0E5DFE" w:rsidR="008D0C6C" w:rsidRDefault="008D0C6C">
          <w:pPr>
            <w:pStyle w:val="TOC1"/>
            <w:rPr>
              <w:noProof/>
              <w:kern w:val="2"/>
              <w:sz w:val="24"/>
              <w:szCs w:val="24"/>
              <w14:ligatures w14:val="standardContextual"/>
            </w:rPr>
          </w:pPr>
          <w:hyperlink w:anchor="_Toc222471260" w:history="1">
            <w:r w:rsidRPr="008A3A16">
              <w:rPr>
                <w:rStyle w:val="Hyperlink"/>
                <w:rFonts w:ascii="Arial" w:hAnsi="Arial" w:cs="Arial"/>
                <w:noProof/>
              </w:rPr>
              <w:t>12.</w:t>
            </w:r>
            <w:r>
              <w:rPr>
                <w:noProof/>
                <w:kern w:val="2"/>
                <w:sz w:val="24"/>
                <w:szCs w:val="24"/>
                <w14:ligatures w14:val="standardContextual"/>
              </w:rPr>
              <w:tab/>
            </w:r>
            <w:r w:rsidRPr="008A3A16">
              <w:rPr>
                <w:rStyle w:val="Hyperlink"/>
                <w:rFonts w:ascii="Arial" w:hAnsi="Arial" w:cs="Arial"/>
                <w:noProof/>
              </w:rPr>
              <w:t>Schools Financial Value Standard (SFVS)</w:t>
            </w:r>
            <w:r>
              <w:rPr>
                <w:noProof/>
                <w:webHidden/>
              </w:rPr>
              <w:tab/>
            </w:r>
            <w:r>
              <w:rPr>
                <w:noProof/>
                <w:webHidden/>
              </w:rPr>
              <w:fldChar w:fldCharType="begin"/>
            </w:r>
            <w:r>
              <w:rPr>
                <w:noProof/>
                <w:webHidden/>
              </w:rPr>
              <w:instrText xml:space="preserve"> PAGEREF _Toc222471260 \h </w:instrText>
            </w:r>
            <w:r>
              <w:rPr>
                <w:noProof/>
                <w:webHidden/>
              </w:rPr>
            </w:r>
            <w:r>
              <w:rPr>
                <w:noProof/>
                <w:webHidden/>
              </w:rPr>
              <w:fldChar w:fldCharType="separate"/>
            </w:r>
            <w:r>
              <w:rPr>
                <w:noProof/>
                <w:webHidden/>
              </w:rPr>
              <w:t>13</w:t>
            </w:r>
            <w:r>
              <w:rPr>
                <w:noProof/>
                <w:webHidden/>
              </w:rPr>
              <w:fldChar w:fldCharType="end"/>
            </w:r>
          </w:hyperlink>
        </w:p>
        <w:p w14:paraId="5F2E13CB" w14:textId="3184397C" w:rsidR="008D0C6C" w:rsidRDefault="008D0C6C">
          <w:pPr>
            <w:pStyle w:val="TOC1"/>
            <w:rPr>
              <w:noProof/>
              <w:kern w:val="2"/>
              <w:sz w:val="24"/>
              <w:szCs w:val="24"/>
              <w14:ligatures w14:val="standardContextual"/>
            </w:rPr>
          </w:pPr>
          <w:hyperlink w:anchor="_Toc222471261" w:history="1">
            <w:r w:rsidRPr="008A3A16">
              <w:rPr>
                <w:rStyle w:val="Hyperlink"/>
                <w:rFonts w:ascii="Arial" w:hAnsi="Arial" w:cs="Arial"/>
                <w:noProof/>
              </w:rPr>
              <w:t>13.</w:t>
            </w:r>
            <w:r>
              <w:rPr>
                <w:noProof/>
                <w:kern w:val="2"/>
                <w:sz w:val="24"/>
                <w:szCs w:val="24"/>
                <w14:ligatures w14:val="standardContextual"/>
              </w:rPr>
              <w:tab/>
            </w:r>
            <w:r w:rsidRPr="008A3A16">
              <w:rPr>
                <w:rStyle w:val="Hyperlink"/>
                <w:rFonts w:ascii="Arial" w:hAnsi="Arial" w:cs="Arial"/>
                <w:noProof/>
              </w:rPr>
              <w:t>Three Year Governors’ Budget Plan (maintained schools only)</w:t>
            </w:r>
            <w:r>
              <w:rPr>
                <w:noProof/>
                <w:webHidden/>
              </w:rPr>
              <w:tab/>
            </w:r>
            <w:r>
              <w:rPr>
                <w:noProof/>
                <w:webHidden/>
              </w:rPr>
              <w:fldChar w:fldCharType="begin"/>
            </w:r>
            <w:r>
              <w:rPr>
                <w:noProof/>
                <w:webHidden/>
              </w:rPr>
              <w:instrText xml:space="preserve"> PAGEREF _Toc222471261 \h </w:instrText>
            </w:r>
            <w:r>
              <w:rPr>
                <w:noProof/>
                <w:webHidden/>
              </w:rPr>
            </w:r>
            <w:r>
              <w:rPr>
                <w:noProof/>
                <w:webHidden/>
              </w:rPr>
              <w:fldChar w:fldCharType="separate"/>
            </w:r>
            <w:r>
              <w:rPr>
                <w:noProof/>
                <w:webHidden/>
              </w:rPr>
              <w:t>13</w:t>
            </w:r>
            <w:r>
              <w:rPr>
                <w:noProof/>
                <w:webHidden/>
              </w:rPr>
              <w:fldChar w:fldCharType="end"/>
            </w:r>
          </w:hyperlink>
        </w:p>
        <w:p w14:paraId="05BA4637" w14:textId="251015EF" w:rsidR="008D0C6C" w:rsidRDefault="008D0C6C">
          <w:pPr>
            <w:pStyle w:val="TOC1"/>
            <w:rPr>
              <w:noProof/>
              <w:kern w:val="2"/>
              <w:sz w:val="24"/>
              <w:szCs w:val="24"/>
              <w14:ligatures w14:val="standardContextual"/>
            </w:rPr>
          </w:pPr>
          <w:hyperlink w:anchor="_Toc222471262" w:history="1">
            <w:r w:rsidRPr="008A3A16">
              <w:rPr>
                <w:rStyle w:val="Hyperlink"/>
                <w:rFonts w:ascii="Arial" w:hAnsi="Arial" w:cs="Arial"/>
                <w:noProof/>
              </w:rPr>
              <w:t>14.</w:t>
            </w:r>
            <w:r>
              <w:rPr>
                <w:noProof/>
                <w:kern w:val="2"/>
                <w:sz w:val="24"/>
                <w:szCs w:val="24"/>
                <w14:ligatures w14:val="standardContextual"/>
              </w:rPr>
              <w:tab/>
            </w:r>
            <w:r w:rsidRPr="008A3A16">
              <w:rPr>
                <w:rStyle w:val="Hyperlink"/>
                <w:rFonts w:ascii="Arial" w:hAnsi="Arial" w:cs="Arial"/>
                <w:noProof/>
              </w:rPr>
              <w:t>Useful Links</w:t>
            </w:r>
            <w:r>
              <w:rPr>
                <w:noProof/>
                <w:webHidden/>
              </w:rPr>
              <w:tab/>
            </w:r>
            <w:r>
              <w:rPr>
                <w:noProof/>
                <w:webHidden/>
              </w:rPr>
              <w:fldChar w:fldCharType="begin"/>
            </w:r>
            <w:r>
              <w:rPr>
                <w:noProof/>
                <w:webHidden/>
              </w:rPr>
              <w:instrText xml:space="preserve"> PAGEREF _Toc222471262 \h </w:instrText>
            </w:r>
            <w:r>
              <w:rPr>
                <w:noProof/>
                <w:webHidden/>
              </w:rPr>
            </w:r>
            <w:r>
              <w:rPr>
                <w:noProof/>
                <w:webHidden/>
              </w:rPr>
              <w:fldChar w:fldCharType="separate"/>
            </w:r>
            <w:r>
              <w:rPr>
                <w:noProof/>
                <w:webHidden/>
              </w:rPr>
              <w:t>14</w:t>
            </w:r>
            <w:r>
              <w:rPr>
                <w:noProof/>
                <w:webHidden/>
              </w:rPr>
              <w:fldChar w:fldCharType="end"/>
            </w:r>
          </w:hyperlink>
        </w:p>
        <w:p w14:paraId="1A668AE2" w14:textId="56245BEF" w:rsidR="008600AE" w:rsidRPr="00664811" w:rsidRDefault="00A32118" w:rsidP="3B954121">
          <w:pPr>
            <w:pStyle w:val="TOC1"/>
            <w:tabs>
              <w:tab w:val="left" w:pos="435"/>
              <w:tab w:val="right" w:leader="dot" w:pos="10455"/>
            </w:tabs>
            <w:rPr>
              <w:rStyle w:val="Hyperlink"/>
              <w:rFonts w:ascii="Arial" w:hAnsi="Arial" w:cs="Arial"/>
              <w:noProof/>
              <w:sz w:val="24"/>
              <w:szCs w:val="24"/>
            </w:rPr>
          </w:pPr>
          <w:r w:rsidRPr="00664811">
            <w:rPr>
              <w:rFonts w:ascii="Arial" w:hAnsi="Arial" w:cs="Arial"/>
              <w:sz w:val="24"/>
              <w:szCs w:val="24"/>
            </w:rPr>
            <w:fldChar w:fldCharType="end"/>
          </w:r>
        </w:p>
      </w:sdtContent>
    </w:sdt>
    <w:p w14:paraId="036D89D4" w14:textId="77777777" w:rsidR="00E603CE" w:rsidRDefault="00E603CE" w:rsidP="005D5D95">
      <w:pPr>
        <w:rPr>
          <w:rFonts w:ascii="Arial" w:hAnsi="Arial"/>
          <w:noProof/>
        </w:rPr>
      </w:pPr>
    </w:p>
    <w:p w14:paraId="0908EEC5" w14:textId="77777777" w:rsidR="00701628" w:rsidRDefault="00701628" w:rsidP="005D5D95">
      <w:pPr>
        <w:rPr>
          <w:rFonts w:ascii="Arial" w:hAnsi="Arial"/>
          <w:noProof/>
        </w:rPr>
      </w:pPr>
    </w:p>
    <w:p w14:paraId="00E5CB7A" w14:textId="77777777" w:rsidR="00701628" w:rsidRDefault="00701628" w:rsidP="005D5D95">
      <w:pPr>
        <w:rPr>
          <w:rFonts w:ascii="Arial" w:hAnsi="Arial"/>
          <w:noProof/>
        </w:rPr>
      </w:pPr>
    </w:p>
    <w:p w14:paraId="5E339EB4" w14:textId="77777777" w:rsidR="00701628" w:rsidRDefault="00701628" w:rsidP="005D5D95">
      <w:pPr>
        <w:rPr>
          <w:rFonts w:ascii="Arial" w:hAnsi="Arial"/>
          <w:noProof/>
        </w:rPr>
      </w:pPr>
    </w:p>
    <w:p w14:paraId="5A12DFB4" w14:textId="77777777" w:rsidR="00701628" w:rsidRDefault="00701628" w:rsidP="005D5D95">
      <w:pPr>
        <w:rPr>
          <w:rFonts w:ascii="Arial" w:hAnsi="Arial"/>
          <w:noProof/>
        </w:rPr>
      </w:pPr>
    </w:p>
    <w:p w14:paraId="6C924D3D" w14:textId="77777777" w:rsidR="00701628" w:rsidRDefault="00701628" w:rsidP="005D5D95">
      <w:pPr>
        <w:rPr>
          <w:rFonts w:ascii="Arial" w:hAnsi="Arial"/>
          <w:noProof/>
        </w:rPr>
      </w:pPr>
    </w:p>
    <w:p w14:paraId="037DB1EB" w14:textId="77777777" w:rsidR="008D0C6C" w:rsidRDefault="008D0C6C" w:rsidP="005D5D95">
      <w:pPr>
        <w:rPr>
          <w:rFonts w:ascii="Arial" w:hAnsi="Arial"/>
          <w:noProof/>
        </w:rPr>
      </w:pPr>
    </w:p>
    <w:p w14:paraId="06A4CDEE" w14:textId="77777777" w:rsidR="00F10C0A" w:rsidRDefault="00F10C0A" w:rsidP="005D5D95">
      <w:pPr>
        <w:rPr>
          <w:rFonts w:ascii="Arial" w:hAnsi="Arial"/>
          <w:noProof/>
        </w:rPr>
      </w:pPr>
    </w:p>
    <w:p w14:paraId="32C9E53D" w14:textId="77777777" w:rsidR="00701628" w:rsidRDefault="00701628" w:rsidP="005D5D95">
      <w:pPr>
        <w:rPr>
          <w:rFonts w:ascii="Arial" w:hAnsi="Arial"/>
          <w:noProof/>
        </w:rPr>
      </w:pPr>
    </w:p>
    <w:p w14:paraId="5854326E" w14:textId="264D6BDC" w:rsidR="00D273A2" w:rsidRPr="00D273A2" w:rsidRDefault="00235945" w:rsidP="00E603CE">
      <w:pPr>
        <w:rPr>
          <w:rFonts w:ascii="Arial" w:hAnsi="Arial" w:cs="Arial"/>
          <w:sz w:val="24"/>
        </w:rPr>
      </w:pPr>
      <w:r>
        <w:rPr>
          <w:rFonts w:ascii="Arial" w:hAnsi="Arial"/>
          <w:noProof/>
        </w:rPr>
        <w:t xml:space="preserve">Updated: </w:t>
      </w:r>
      <w:r w:rsidR="00701628">
        <w:rPr>
          <w:rFonts w:ascii="Arial" w:hAnsi="Arial"/>
          <w:noProof/>
        </w:rPr>
        <w:t>February</w:t>
      </w:r>
      <w:r w:rsidR="001642CA">
        <w:rPr>
          <w:rFonts w:ascii="Arial" w:hAnsi="Arial"/>
          <w:noProof/>
        </w:rPr>
        <w:t xml:space="preserve"> </w:t>
      </w:r>
      <w:r w:rsidR="00F30AA5">
        <w:rPr>
          <w:rFonts w:ascii="Arial" w:hAnsi="Arial"/>
          <w:noProof/>
        </w:rPr>
        <w:t>202</w:t>
      </w:r>
      <w:r w:rsidR="0031072C">
        <w:rPr>
          <w:rFonts w:ascii="Arial" w:hAnsi="Arial"/>
          <w:noProof/>
        </w:rPr>
        <w:t>6</w:t>
      </w:r>
    </w:p>
    <w:p w14:paraId="36FD7D6E" w14:textId="705E5F70" w:rsidR="00357C70" w:rsidRPr="00357C70" w:rsidRDefault="00357C70" w:rsidP="00EE6831">
      <w:pPr>
        <w:pStyle w:val="Heading1"/>
        <w:numPr>
          <w:ilvl w:val="0"/>
          <w:numId w:val="15"/>
        </w:numPr>
        <w:spacing w:line="240" w:lineRule="auto"/>
        <w:rPr>
          <w:rFonts w:ascii="Arial" w:hAnsi="Arial" w:cs="Arial"/>
          <w:color w:val="1F497D" w:themeColor="text2"/>
        </w:rPr>
      </w:pPr>
      <w:bookmarkStart w:id="0" w:name="_Toc222471249"/>
      <w:r>
        <w:rPr>
          <w:rFonts w:ascii="Arial" w:hAnsi="Arial" w:cs="Arial"/>
          <w:color w:val="1F497D" w:themeColor="text2"/>
        </w:rPr>
        <w:lastRenderedPageBreak/>
        <w:t>Introduction</w:t>
      </w:r>
      <w:bookmarkEnd w:id="0"/>
    </w:p>
    <w:p w14:paraId="21E69C98" w14:textId="77777777" w:rsidR="00320ED1" w:rsidRDefault="00320ED1" w:rsidP="00EE6831">
      <w:pPr>
        <w:pStyle w:val="NoSpacing"/>
        <w:rPr>
          <w:highlight w:val="yellow"/>
        </w:rPr>
      </w:pPr>
    </w:p>
    <w:p w14:paraId="6E1916D9" w14:textId="018C463B" w:rsidR="007A0B2B" w:rsidRDefault="001D347C" w:rsidP="00EE6831">
      <w:pPr>
        <w:pStyle w:val="NoSpacing"/>
        <w:rPr>
          <w:rFonts w:ascii="Arial" w:hAnsi="Arial" w:cs="Arial"/>
          <w:sz w:val="24"/>
        </w:rPr>
      </w:pPr>
      <w:r>
        <w:rPr>
          <w:rFonts w:ascii="Arial" w:hAnsi="Arial" w:cs="Arial"/>
          <w:sz w:val="24"/>
        </w:rPr>
        <w:t>In November 202</w:t>
      </w:r>
      <w:r w:rsidR="00585A12">
        <w:rPr>
          <w:rFonts w:ascii="Arial" w:hAnsi="Arial" w:cs="Arial"/>
          <w:sz w:val="24"/>
        </w:rPr>
        <w:t>5</w:t>
      </w:r>
      <w:r>
        <w:rPr>
          <w:rFonts w:ascii="Arial" w:hAnsi="Arial" w:cs="Arial"/>
          <w:sz w:val="24"/>
        </w:rPr>
        <w:t>, the Department of Education</w:t>
      </w:r>
      <w:r w:rsidR="00055823">
        <w:rPr>
          <w:rFonts w:ascii="Arial" w:hAnsi="Arial" w:cs="Arial"/>
          <w:sz w:val="24"/>
        </w:rPr>
        <w:t xml:space="preserve"> (DfE)</w:t>
      </w:r>
      <w:r w:rsidR="00C141B3">
        <w:rPr>
          <w:rFonts w:ascii="Arial" w:hAnsi="Arial" w:cs="Arial"/>
          <w:sz w:val="24"/>
        </w:rPr>
        <w:t xml:space="preserve"> </w:t>
      </w:r>
      <w:r w:rsidR="007A0B2B">
        <w:rPr>
          <w:rFonts w:ascii="Arial" w:hAnsi="Arial" w:cs="Arial"/>
          <w:sz w:val="24"/>
        </w:rPr>
        <w:t>published</w:t>
      </w:r>
      <w:r w:rsidR="00E02DB4">
        <w:rPr>
          <w:rFonts w:ascii="Arial" w:hAnsi="Arial" w:cs="Arial"/>
          <w:sz w:val="24"/>
        </w:rPr>
        <w:t xml:space="preserve"> the </w:t>
      </w:r>
      <w:hyperlink r:id="rId12" w:history="1">
        <w:r w:rsidR="00E02DB4" w:rsidRPr="0069513A">
          <w:rPr>
            <w:rStyle w:val="Hyperlink"/>
            <w:rFonts w:ascii="Arial" w:hAnsi="Arial" w:cs="Arial"/>
            <w:sz w:val="24"/>
          </w:rPr>
          <w:t xml:space="preserve">National Funding Formula for Schools and High Needs </w:t>
        </w:r>
        <w:r w:rsidR="007F7CF8">
          <w:rPr>
            <w:rStyle w:val="Hyperlink"/>
            <w:rFonts w:ascii="Arial" w:hAnsi="Arial" w:cs="Arial"/>
            <w:sz w:val="24"/>
          </w:rPr>
          <w:t xml:space="preserve">from </w:t>
        </w:r>
        <w:r w:rsidR="00E02DB4" w:rsidRPr="0069513A">
          <w:rPr>
            <w:rStyle w:val="Hyperlink"/>
            <w:rFonts w:ascii="Arial" w:hAnsi="Arial" w:cs="Arial"/>
            <w:sz w:val="24"/>
          </w:rPr>
          <w:t>2025</w:t>
        </w:r>
      </w:hyperlink>
      <w:r w:rsidR="0069513A">
        <w:rPr>
          <w:rFonts w:ascii="Arial" w:hAnsi="Arial" w:cs="Arial"/>
          <w:sz w:val="24"/>
        </w:rPr>
        <w:t>.</w:t>
      </w:r>
    </w:p>
    <w:p w14:paraId="1CA1E977" w14:textId="77777777" w:rsidR="007A0B2B" w:rsidRDefault="007A0B2B" w:rsidP="008E1646">
      <w:pPr>
        <w:pStyle w:val="NoSpacing"/>
        <w:rPr>
          <w:rFonts w:ascii="Arial" w:hAnsi="Arial" w:cs="Arial"/>
          <w:sz w:val="24"/>
        </w:rPr>
      </w:pPr>
    </w:p>
    <w:p w14:paraId="7FC1FC8E" w14:textId="0547FBE6" w:rsidR="001871F5" w:rsidRDefault="001871F5" w:rsidP="00EE6831">
      <w:pPr>
        <w:pStyle w:val="NoSpacing"/>
        <w:rPr>
          <w:rFonts w:ascii="Arial" w:hAnsi="Arial" w:cs="Arial"/>
          <w:sz w:val="24"/>
        </w:rPr>
      </w:pPr>
      <w:r w:rsidRPr="001871F5">
        <w:rPr>
          <w:rFonts w:ascii="Arial" w:hAnsi="Arial" w:cs="Arial"/>
          <w:sz w:val="24"/>
        </w:rPr>
        <w:t>The key changes are</w:t>
      </w:r>
      <w:r w:rsidR="00B029B0">
        <w:rPr>
          <w:rFonts w:ascii="Arial" w:hAnsi="Arial" w:cs="Arial"/>
          <w:sz w:val="24"/>
        </w:rPr>
        <w:t xml:space="preserve"> as follows</w:t>
      </w:r>
      <w:r w:rsidRPr="001871F5">
        <w:rPr>
          <w:rFonts w:ascii="Arial" w:hAnsi="Arial" w:cs="Arial"/>
          <w:sz w:val="24"/>
        </w:rPr>
        <w:t>:</w:t>
      </w:r>
    </w:p>
    <w:p w14:paraId="1305F1BF" w14:textId="77777777" w:rsidR="00F25509" w:rsidRDefault="00F25509" w:rsidP="00EE6831">
      <w:pPr>
        <w:pStyle w:val="NoSpacing"/>
        <w:rPr>
          <w:rFonts w:ascii="Arial" w:hAnsi="Arial" w:cs="Arial"/>
          <w:sz w:val="24"/>
        </w:rPr>
      </w:pPr>
    </w:p>
    <w:p w14:paraId="04EE52B2" w14:textId="29B9A82A" w:rsidR="00EC0A0B" w:rsidRDefault="00EC0A0B" w:rsidP="00EE6831">
      <w:pPr>
        <w:pStyle w:val="NoSpacing"/>
        <w:numPr>
          <w:ilvl w:val="0"/>
          <w:numId w:val="45"/>
        </w:numPr>
        <w:rPr>
          <w:rFonts w:ascii="Arial" w:hAnsi="Arial" w:cs="Arial"/>
          <w:sz w:val="24"/>
        </w:rPr>
      </w:pPr>
      <w:r w:rsidRPr="00EC0A0B">
        <w:rPr>
          <w:rFonts w:ascii="Arial" w:hAnsi="Arial" w:cs="Arial"/>
          <w:sz w:val="24"/>
        </w:rPr>
        <w:t xml:space="preserve">An increase in factor </w:t>
      </w:r>
      <w:r w:rsidR="0012368A">
        <w:rPr>
          <w:rFonts w:ascii="Arial" w:hAnsi="Arial" w:cs="Arial"/>
          <w:sz w:val="24"/>
        </w:rPr>
        <w:t xml:space="preserve">rate </w:t>
      </w:r>
      <w:r w:rsidRPr="00EC0A0B">
        <w:rPr>
          <w:rFonts w:ascii="Arial" w:hAnsi="Arial" w:cs="Arial"/>
          <w:sz w:val="24"/>
        </w:rPr>
        <w:t xml:space="preserve">values in the </w:t>
      </w:r>
      <w:r w:rsidR="00F9568D">
        <w:rPr>
          <w:rFonts w:ascii="Arial" w:hAnsi="Arial" w:cs="Arial"/>
          <w:sz w:val="24"/>
        </w:rPr>
        <w:t>national funding formula (</w:t>
      </w:r>
      <w:r w:rsidRPr="00EC0A0B">
        <w:rPr>
          <w:rFonts w:ascii="Arial" w:hAnsi="Arial" w:cs="Arial"/>
          <w:sz w:val="24"/>
        </w:rPr>
        <w:t>NFF</w:t>
      </w:r>
      <w:r w:rsidR="00F9568D">
        <w:rPr>
          <w:rFonts w:ascii="Arial" w:hAnsi="Arial" w:cs="Arial"/>
          <w:sz w:val="24"/>
        </w:rPr>
        <w:t>)</w:t>
      </w:r>
      <w:r w:rsidRPr="00EC0A0B">
        <w:rPr>
          <w:rFonts w:ascii="Arial" w:hAnsi="Arial" w:cs="Arial"/>
          <w:sz w:val="24"/>
        </w:rPr>
        <w:t xml:space="preserve"> to increase the amount of funding available to schools. Through the minimum per pupil funding levels, every primary school will attract at least £</w:t>
      </w:r>
      <w:r w:rsidR="000F5F65">
        <w:rPr>
          <w:rFonts w:ascii="Arial" w:hAnsi="Arial" w:cs="Arial"/>
          <w:sz w:val="24"/>
        </w:rPr>
        <w:t>5,115</w:t>
      </w:r>
      <w:r w:rsidRPr="00EC0A0B">
        <w:rPr>
          <w:rFonts w:ascii="Arial" w:hAnsi="Arial" w:cs="Arial"/>
          <w:sz w:val="24"/>
        </w:rPr>
        <w:t xml:space="preserve"> per pupil, and every secondary school at least £</w:t>
      </w:r>
      <w:r w:rsidR="000F5F65">
        <w:rPr>
          <w:rFonts w:ascii="Arial" w:hAnsi="Arial" w:cs="Arial"/>
          <w:sz w:val="24"/>
        </w:rPr>
        <w:t>6,640</w:t>
      </w:r>
      <w:r w:rsidRPr="00EC0A0B">
        <w:rPr>
          <w:rFonts w:ascii="Arial" w:hAnsi="Arial" w:cs="Arial"/>
          <w:sz w:val="24"/>
        </w:rPr>
        <w:t xml:space="preserve"> per </w:t>
      </w:r>
      <w:r w:rsidR="00010D18" w:rsidRPr="00EC0A0B">
        <w:rPr>
          <w:rFonts w:ascii="Arial" w:hAnsi="Arial" w:cs="Arial"/>
          <w:sz w:val="24"/>
        </w:rPr>
        <w:t>pupi</w:t>
      </w:r>
      <w:r w:rsidR="00010D18">
        <w:rPr>
          <w:rFonts w:ascii="Arial" w:hAnsi="Arial" w:cs="Arial"/>
          <w:sz w:val="24"/>
        </w:rPr>
        <w:t>l.</w:t>
      </w:r>
    </w:p>
    <w:p w14:paraId="3DF6FDF3" w14:textId="77777777" w:rsidR="00EC0A0B" w:rsidRDefault="00EC0A0B" w:rsidP="00EE6831">
      <w:pPr>
        <w:pStyle w:val="NoSpacing"/>
        <w:rPr>
          <w:rFonts w:ascii="Arial" w:hAnsi="Arial" w:cs="Arial"/>
          <w:sz w:val="24"/>
        </w:rPr>
      </w:pPr>
    </w:p>
    <w:p w14:paraId="05829E87" w14:textId="60D9F31E" w:rsidR="002D1C8F" w:rsidRDefault="007F02D6" w:rsidP="00B619E8">
      <w:pPr>
        <w:pStyle w:val="NoSpacing"/>
        <w:numPr>
          <w:ilvl w:val="0"/>
          <w:numId w:val="45"/>
        </w:numPr>
        <w:rPr>
          <w:rFonts w:ascii="Arial" w:hAnsi="Arial" w:cs="Arial"/>
          <w:sz w:val="24"/>
        </w:rPr>
      </w:pPr>
      <w:r w:rsidRPr="002D1C8F">
        <w:rPr>
          <w:rFonts w:ascii="Arial" w:hAnsi="Arial" w:cs="Arial"/>
          <w:sz w:val="24"/>
        </w:rPr>
        <w:t>Rolling the 202</w:t>
      </w:r>
      <w:r w:rsidR="00B51064" w:rsidRPr="002D1C8F">
        <w:rPr>
          <w:rFonts w:ascii="Arial" w:hAnsi="Arial" w:cs="Arial"/>
          <w:sz w:val="24"/>
        </w:rPr>
        <w:t xml:space="preserve">5-26 schools budget </w:t>
      </w:r>
      <w:r w:rsidR="0027163A" w:rsidRPr="002D1C8F">
        <w:rPr>
          <w:rFonts w:ascii="Arial" w:hAnsi="Arial" w:cs="Arial"/>
          <w:sz w:val="24"/>
        </w:rPr>
        <w:t>support grant (SBSG) and the national insurance contribution (NICs)</w:t>
      </w:r>
      <w:r w:rsidRPr="002D1C8F">
        <w:rPr>
          <w:rFonts w:ascii="Arial" w:hAnsi="Arial" w:cs="Arial"/>
          <w:sz w:val="24"/>
        </w:rPr>
        <w:t xml:space="preserve"> into the schools NFF, ensuring that this additional funding forms an on-going part of schools’ core </w:t>
      </w:r>
      <w:r w:rsidR="00010D18" w:rsidRPr="002D1C8F">
        <w:rPr>
          <w:rFonts w:ascii="Arial" w:hAnsi="Arial" w:cs="Arial"/>
          <w:sz w:val="24"/>
        </w:rPr>
        <w:t>budgets.</w:t>
      </w:r>
    </w:p>
    <w:p w14:paraId="4845B6B5" w14:textId="77777777" w:rsidR="002D1C8F" w:rsidRPr="002D1C8F" w:rsidRDefault="002D1C8F" w:rsidP="002D1C8F">
      <w:pPr>
        <w:pStyle w:val="NoSpacing"/>
        <w:rPr>
          <w:rFonts w:ascii="Arial" w:hAnsi="Arial" w:cs="Arial"/>
          <w:sz w:val="24"/>
        </w:rPr>
      </w:pPr>
    </w:p>
    <w:p w14:paraId="5914A665" w14:textId="77777777" w:rsidR="002D1C8F" w:rsidRDefault="002D1C8F" w:rsidP="002D1C8F">
      <w:pPr>
        <w:pStyle w:val="NoSpacing"/>
        <w:rPr>
          <w:rFonts w:ascii="Arial" w:hAnsi="Arial" w:cs="Arial"/>
          <w:sz w:val="24"/>
        </w:rPr>
      </w:pPr>
      <w:r w:rsidRPr="002D1C8F">
        <w:rPr>
          <w:rFonts w:ascii="Arial" w:hAnsi="Arial" w:cs="Arial"/>
          <w:sz w:val="24"/>
        </w:rPr>
        <w:t>As in previous years, local authorities will continue to determine the local funding formulae for mainstream schools in their area.</w:t>
      </w:r>
    </w:p>
    <w:p w14:paraId="19276BC8" w14:textId="77777777" w:rsidR="002D1C8F" w:rsidRPr="002D1C8F" w:rsidRDefault="002D1C8F" w:rsidP="002D1C8F">
      <w:pPr>
        <w:pStyle w:val="NoSpacing"/>
        <w:rPr>
          <w:rFonts w:ascii="Arial" w:hAnsi="Arial" w:cs="Arial"/>
          <w:sz w:val="24"/>
        </w:rPr>
      </w:pPr>
    </w:p>
    <w:p w14:paraId="08405CD1" w14:textId="5D94730A" w:rsidR="002D1C8F" w:rsidRDefault="002D1C8F" w:rsidP="002D1C8F">
      <w:pPr>
        <w:pStyle w:val="NoSpacing"/>
        <w:rPr>
          <w:rFonts w:ascii="Arial" w:hAnsi="Arial" w:cs="Arial"/>
          <w:sz w:val="24"/>
        </w:rPr>
      </w:pPr>
      <w:r w:rsidRPr="002D1C8F">
        <w:rPr>
          <w:rFonts w:ascii="Arial" w:hAnsi="Arial" w:cs="Arial"/>
          <w:sz w:val="24"/>
        </w:rPr>
        <w:t>For the 2026–27 financial year, the Dedicated Schools Grant (DSG) schools block settlement for Gloucestershire is insufficient to fund all schools at 100% of the National Funding Formula (NFF) level. There is a shortfall of £0.538 million, requiring a 0.12% reduction to the NFF factor rates</w:t>
      </w:r>
      <w:r w:rsidR="00710D4F">
        <w:rPr>
          <w:rFonts w:ascii="Arial" w:hAnsi="Arial" w:cs="Arial"/>
          <w:sz w:val="24"/>
        </w:rPr>
        <w:t xml:space="preserve"> </w:t>
      </w:r>
      <w:r w:rsidRPr="002D1C8F">
        <w:rPr>
          <w:rFonts w:ascii="Arial" w:hAnsi="Arial" w:cs="Arial"/>
          <w:sz w:val="24"/>
        </w:rPr>
        <w:t>excluding the Minimum Per Pupil Level (MPPL)</w:t>
      </w:r>
      <w:r w:rsidR="00710D4F">
        <w:rPr>
          <w:rFonts w:ascii="Arial" w:hAnsi="Arial" w:cs="Arial"/>
          <w:sz w:val="24"/>
        </w:rPr>
        <w:t xml:space="preserve"> to</w:t>
      </w:r>
      <w:r w:rsidRPr="002D1C8F">
        <w:rPr>
          <w:rFonts w:ascii="Arial" w:hAnsi="Arial" w:cs="Arial"/>
          <w:sz w:val="24"/>
        </w:rPr>
        <w:t xml:space="preserve"> remain within the 2026–27 budget. </w:t>
      </w:r>
    </w:p>
    <w:p w14:paraId="52405CEE" w14:textId="77777777" w:rsidR="002D1C8F" w:rsidRPr="002D1C8F" w:rsidRDefault="002D1C8F" w:rsidP="002D1C8F">
      <w:pPr>
        <w:pStyle w:val="NoSpacing"/>
        <w:rPr>
          <w:rFonts w:ascii="Arial" w:hAnsi="Arial" w:cs="Arial"/>
          <w:sz w:val="24"/>
        </w:rPr>
      </w:pPr>
    </w:p>
    <w:p w14:paraId="28357586" w14:textId="0D0C217A" w:rsidR="002D1C8F" w:rsidRDefault="002D1C8F" w:rsidP="002D1C8F">
      <w:pPr>
        <w:pStyle w:val="NoSpacing"/>
        <w:rPr>
          <w:rFonts w:ascii="Arial" w:hAnsi="Arial" w:cs="Arial"/>
          <w:sz w:val="24"/>
        </w:rPr>
      </w:pPr>
      <w:r w:rsidRPr="002D1C8F">
        <w:rPr>
          <w:rFonts w:ascii="Arial" w:hAnsi="Arial" w:cs="Arial"/>
          <w:sz w:val="24"/>
        </w:rPr>
        <w:t>The MPPL is set nationally by the D</w:t>
      </w:r>
      <w:r w:rsidR="00055823">
        <w:rPr>
          <w:rFonts w:ascii="Arial" w:hAnsi="Arial" w:cs="Arial"/>
          <w:sz w:val="24"/>
        </w:rPr>
        <w:t>fE</w:t>
      </w:r>
      <w:r w:rsidRPr="002D1C8F">
        <w:rPr>
          <w:rFonts w:ascii="Arial" w:hAnsi="Arial" w:cs="Arial"/>
          <w:sz w:val="24"/>
        </w:rPr>
        <w:t xml:space="preserve"> and cannot be reduced. This ensures the minimum per pupil funding levels are fully implemented at the NFF level, and that the Minimum Funding Guarantee (MFG) is maintained at 0%, consistent with the funding floor within the NFF. </w:t>
      </w:r>
    </w:p>
    <w:p w14:paraId="7B21FB33" w14:textId="77777777" w:rsidR="002D1C8F" w:rsidRPr="002D1C8F" w:rsidRDefault="002D1C8F" w:rsidP="002D1C8F">
      <w:pPr>
        <w:pStyle w:val="NoSpacing"/>
        <w:rPr>
          <w:rFonts w:ascii="Arial" w:hAnsi="Arial" w:cs="Arial"/>
          <w:sz w:val="24"/>
        </w:rPr>
      </w:pPr>
    </w:p>
    <w:p w14:paraId="25EA66FB" w14:textId="575AE9AB" w:rsidR="002D1C8F" w:rsidRDefault="002D1C8F" w:rsidP="002D1C8F">
      <w:pPr>
        <w:pStyle w:val="NoSpacing"/>
      </w:pPr>
      <w:r w:rsidRPr="002D1C8F">
        <w:rPr>
          <w:rFonts w:ascii="Arial" w:hAnsi="Arial" w:cs="Arial"/>
          <w:sz w:val="24"/>
        </w:rPr>
        <w:t>The 2026–27 budget allocations are available on the Schoolsnet budget page. Please download the Excel file and enter your school’s DfE number where indicated to view your allocation</w:t>
      </w:r>
      <w:r w:rsidR="0008647D">
        <w:rPr>
          <w:rFonts w:ascii="Arial" w:hAnsi="Arial" w:cs="Arial"/>
          <w:sz w:val="24"/>
        </w:rPr>
        <w:t xml:space="preserve">: </w:t>
      </w:r>
      <w:hyperlink r:id="rId13" w:history="1">
        <w:r w:rsidR="0008647D" w:rsidRPr="00B05B43">
          <w:rPr>
            <w:rStyle w:val="Hyperlink"/>
            <w:rFonts w:ascii="Arial" w:hAnsi="Arial" w:cs="Arial"/>
            <w:sz w:val="24"/>
          </w:rPr>
          <w:t>schoolsnet budget page</w:t>
        </w:r>
      </w:hyperlink>
      <w:r w:rsidR="0008647D">
        <w:t>.</w:t>
      </w:r>
    </w:p>
    <w:p w14:paraId="2372FCB4" w14:textId="77777777" w:rsidR="008D0C6C" w:rsidRDefault="008D0C6C" w:rsidP="002D1C8F">
      <w:pPr>
        <w:pStyle w:val="NoSpacing"/>
      </w:pPr>
    </w:p>
    <w:p w14:paraId="3ED917F4" w14:textId="77777777" w:rsidR="008D0C6C" w:rsidRPr="00E22374" w:rsidRDefault="008D0C6C" w:rsidP="008D0C6C">
      <w:pPr>
        <w:spacing w:line="240" w:lineRule="auto"/>
        <w:rPr>
          <w:rFonts w:ascii="Arial" w:hAnsi="Arial" w:cs="Arial"/>
          <w:b/>
          <w:color w:val="000000"/>
          <w:sz w:val="24"/>
          <w:szCs w:val="23"/>
        </w:rPr>
      </w:pPr>
      <w:r w:rsidRPr="00E22374">
        <w:rPr>
          <w:rFonts w:ascii="Arial" w:hAnsi="Arial" w:cs="Arial"/>
          <w:sz w:val="24"/>
        </w:rPr>
        <w:t xml:space="preserve">If you have any queries regarding your budget allocation, please submit an email to: </w:t>
      </w:r>
      <w:hyperlink r:id="rId14" w:history="1">
        <w:r w:rsidRPr="00E22374">
          <w:rPr>
            <w:rStyle w:val="Hyperlink"/>
            <w:rFonts w:ascii="Arial" w:hAnsi="Arial" w:cs="Arial"/>
            <w:sz w:val="24"/>
          </w:rPr>
          <w:t>schoolbudgets@gloucestershire.gov.uk</w:t>
        </w:r>
      </w:hyperlink>
    </w:p>
    <w:p w14:paraId="0A720FD8" w14:textId="54D677E8" w:rsidR="00AB1F1E" w:rsidRDefault="00AB1F1E" w:rsidP="001871F5">
      <w:pPr>
        <w:pStyle w:val="NoSpacing"/>
        <w:rPr>
          <w:rFonts w:ascii="Arial" w:hAnsi="Arial" w:cs="Arial"/>
          <w:sz w:val="24"/>
        </w:rPr>
      </w:pPr>
    </w:p>
    <w:p w14:paraId="42C2E017" w14:textId="491B9FE8" w:rsidR="00AB1F1E" w:rsidRDefault="00AB1F1E" w:rsidP="001871F5">
      <w:pPr>
        <w:pStyle w:val="NoSpacing"/>
        <w:rPr>
          <w:rFonts w:ascii="Arial" w:hAnsi="Arial" w:cs="Arial"/>
          <w:sz w:val="24"/>
        </w:rPr>
      </w:pPr>
    </w:p>
    <w:p w14:paraId="43D2610C" w14:textId="78E1D40F" w:rsidR="00AB1F1E" w:rsidRDefault="00AB1F1E" w:rsidP="001871F5">
      <w:pPr>
        <w:pStyle w:val="NoSpacing"/>
        <w:rPr>
          <w:rFonts w:ascii="Arial" w:hAnsi="Arial" w:cs="Arial"/>
          <w:sz w:val="24"/>
        </w:rPr>
      </w:pPr>
    </w:p>
    <w:p w14:paraId="0A914754" w14:textId="026A0902" w:rsidR="00AB1F1E" w:rsidRDefault="00AB1F1E" w:rsidP="001871F5">
      <w:pPr>
        <w:pStyle w:val="NoSpacing"/>
        <w:rPr>
          <w:rFonts w:ascii="Arial" w:hAnsi="Arial" w:cs="Arial"/>
          <w:sz w:val="24"/>
        </w:rPr>
      </w:pPr>
    </w:p>
    <w:p w14:paraId="38E83AA3" w14:textId="401E5FCD" w:rsidR="00AB1F1E" w:rsidRDefault="00AB1F1E" w:rsidP="001871F5">
      <w:pPr>
        <w:pStyle w:val="NoSpacing"/>
        <w:rPr>
          <w:rFonts w:ascii="Arial" w:hAnsi="Arial" w:cs="Arial"/>
          <w:sz w:val="24"/>
        </w:rPr>
      </w:pPr>
    </w:p>
    <w:p w14:paraId="684E0B1F" w14:textId="150D8153" w:rsidR="00AB1F1E" w:rsidRDefault="00AB1F1E" w:rsidP="001871F5">
      <w:pPr>
        <w:pStyle w:val="NoSpacing"/>
        <w:rPr>
          <w:rFonts w:ascii="Arial" w:hAnsi="Arial" w:cs="Arial"/>
          <w:sz w:val="24"/>
        </w:rPr>
      </w:pPr>
    </w:p>
    <w:p w14:paraId="4227178E" w14:textId="408E7CB3" w:rsidR="00AB1F1E" w:rsidRDefault="00AB1F1E" w:rsidP="001871F5">
      <w:pPr>
        <w:pStyle w:val="NoSpacing"/>
        <w:rPr>
          <w:rFonts w:ascii="Arial" w:hAnsi="Arial" w:cs="Arial"/>
          <w:sz w:val="24"/>
        </w:rPr>
      </w:pPr>
    </w:p>
    <w:p w14:paraId="3552B3D9" w14:textId="40CA56FC" w:rsidR="00AB1F1E" w:rsidRDefault="00AB1F1E" w:rsidP="001871F5">
      <w:pPr>
        <w:pStyle w:val="NoSpacing"/>
        <w:rPr>
          <w:rFonts w:ascii="Arial" w:hAnsi="Arial" w:cs="Arial"/>
          <w:sz w:val="24"/>
        </w:rPr>
      </w:pPr>
    </w:p>
    <w:p w14:paraId="2D77E281" w14:textId="6B394A59" w:rsidR="00AB1F1E" w:rsidRDefault="00AB1F1E" w:rsidP="001871F5">
      <w:pPr>
        <w:pStyle w:val="NoSpacing"/>
        <w:rPr>
          <w:rFonts w:ascii="Arial" w:hAnsi="Arial" w:cs="Arial"/>
          <w:sz w:val="24"/>
        </w:rPr>
      </w:pPr>
    </w:p>
    <w:p w14:paraId="0FE63038" w14:textId="0CD49FCD" w:rsidR="00AB1F1E" w:rsidRDefault="00AB1F1E" w:rsidP="001871F5">
      <w:pPr>
        <w:pStyle w:val="NoSpacing"/>
        <w:rPr>
          <w:rFonts w:ascii="Arial" w:hAnsi="Arial" w:cs="Arial"/>
          <w:sz w:val="24"/>
        </w:rPr>
      </w:pPr>
    </w:p>
    <w:p w14:paraId="54032B93" w14:textId="18AB97C6" w:rsidR="00AB1F1E" w:rsidRDefault="00AB1F1E" w:rsidP="001871F5">
      <w:pPr>
        <w:pStyle w:val="NoSpacing"/>
        <w:rPr>
          <w:rFonts w:ascii="Arial" w:hAnsi="Arial" w:cs="Arial"/>
          <w:sz w:val="24"/>
        </w:rPr>
      </w:pPr>
    </w:p>
    <w:p w14:paraId="09EA3397" w14:textId="78C9E538" w:rsidR="00AB1F1E" w:rsidRDefault="00AB1F1E" w:rsidP="001871F5">
      <w:pPr>
        <w:pStyle w:val="NoSpacing"/>
        <w:rPr>
          <w:rFonts w:ascii="Arial" w:hAnsi="Arial" w:cs="Arial"/>
          <w:sz w:val="24"/>
        </w:rPr>
      </w:pPr>
    </w:p>
    <w:p w14:paraId="746B8C7A" w14:textId="5CF91D54" w:rsidR="00AB1F1E" w:rsidRDefault="00AB1F1E" w:rsidP="001871F5">
      <w:pPr>
        <w:pStyle w:val="NoSpacing"/>
        <w:rPr>
          <w:rFonts w:ascii="Arial" w:hAnsi="Arial" w:cs="Arial"/>
          <w:sz w:val="24"/>
        </w:rPr>
      </w:pPr>
    </w:p>
    <w:p w14:paraId="5BE706D7" w14:textId="48FE5274" w:rsidR="00AB1F1E" w:rsidRDefault="00AB1F1E" w:rsidP="001871F5">
      <w:pPr>
        <w:pStyle w:val="NoSpacing"/>
        <w:rPr>
          <w:rFonts w:ascii="Arial" w:hAnsi="Arial" w:cs="Arial"/>
          <w:sz w:val="24"/>
        </w:rPr>
      </w:pPr>
    </w:p>
    <w:p w14:paraId="5FADF8A4" w14:textId="302896E0" w:rsidR="00AB1F1E" w:rsidRDefault="00AB1F1E" w:rsidP="001871F5">
      <w:pPr>
        <w:pStyle w:val="NoSpacing"/>
        <w:rPr>
          <w:rFonts w:ascii="Arial" w:hAnsi="Arial" w:cs="Arial"/>
          <w:sz w:val="24"/>
        </w:rPr>
      </w:pPr>
    </w:p>
    <w:p w14:paraId="2030ED6A" w14:textId="1010AD6A" w:rsidR="00AB1F1E" w:rsidRDefault="00AB1F1E" w:rsidP="001871F5">
      <w:pPr>
        <w:pStyle w:val="NoSpacing"/>
        <w:rPr>
          <w:rFonts w:ascii="Arial" w:hAnsi="Arial" w:cs="Arial"/>
          <w:sz w:val="24"/>
        </w:rPr>
      </w:pPr>
    </w:p>
    <w:p w14:paraId="1AFB92BD" w14:textId="77777777" w:rsidR="00EF50E2" w:rsidRDefault="00EF50E2" w:rsidP="001871F5">
      <w:pPr>
        <w:pStyle w:val="NoSpacing"/>
        <w:rPr>
          <w:rFonts w:ascii="Arial" w:hAnsi="Arial" w:cs="Arial"/>
          <w:sz w:val="24"/>
        </w:rPr>
      </w:pPr>
    </w:p>
    <w:p w14:paraId="71B927B9" w14:textId="77777777" w:rsidR="00042AB3" w:rsidRDefault="00042AB3" w:rsidP="001871F5">
      <w:pPr>
        <w:pStyle w:val="NoSpacing"/>
        <w:rPr>
          <w:rFonts w:ascii="Arial" w:hAnsi="Arial" w:cs="Arial"/>
          <w:sz w:val="24"/>
        </w:rPr>
      </w:pPr>
    </w:p>
    <w:p w14:paraId="52C1C8AA" w14:textId="77777777" w:rsidR="008A476C" w:rsidRDefault="008A476C" w:rsidP="001871F5">
      <w:pPr>
        <w:pStyle w:val="NoSpacing"/>
        <w:rPr>
          <w:rFonts w:ascii="Arial" w:hAnsi="Arial" w:cs="Arial"/>
          <w:sz w:val="24"/>
        </w:rPr>
      </w:pPr>
    </w:p>
    <w:p w14:paraId="16995EE3" w14:textId="74184CC7" w:rsidR="00070B5A" w:rsidRDefault="002E7678" w:rsidP="00EE6831">
      <w:pPr>
        <w:pStyle w:val="Heading1"/>
        <w:numPr>
          <w:ilvl w:val="0"/>
          <w:numId w:val="15"/>
        </w:numPr>
        <w:spacing w:before="0" w:line="240" w:lineRule="auto"/>
        <w:rPr>
          <w:rFonts w:ascii="Arial" w:hAnsi="Arial" w:cs="Arial"/>
          <w:color w:val="1F487C"/>
        </w:rPr>
      </w:pPr>
      <w:bookmarkStart w:id="1" w:name="_Toc222471250"/>
      <w:r w:rsidRPr="00D7283D">
        <w:rPr>
          <w:rFonts w:ascii="Arial" w:hAnsi="Arial" w:cs="Arial"/>
          <w:color w:val="1F487C"/>
        </w:rPr>
        <w:lastRenderedPageBreak/>
        <w:t xml:space="preserve">Formula Factors </w:t>
      </w:r>
      <w:r w:rsidR="004207ED" w:rsidRPr="00D7283D">
        <w:rPr>
          <w:rFonts w:ascii="Arial" w:hAnsi="Arial" w:cs="Arial"/>
          <w:color w:val="1F487C"/>
        </w:rPr>
        <w:t>and Unit Values</w:t>
      </w:r>
      <w:bookmarkEnd w:id="1"/>
      <w:r w:rsidRPr="00D7283D">
        <w:rPr>
          <w:rFonts w:ascii="Arial" w:hAnsi="Arial" w:cs="Arial"/>
          <w:color w:val="1F487C"/>
        </w:rPr>
        <w:t xml:space="preserve"> </w:t>
      </w:r>
    </w:p>
    <w:p w14:paraId="365D7FD1" w14:textId="77777777" w:rsidR="00091066" w:rsidRDefault="00091066" w:rsidP="00EE6831">
      <w:pPr>
        <w:spacing w:after="0" w:line="240" w:lineRule="auto"/>
        <w:rPr>
          <w:rFonts w:ascii="Arial" w:hAnsi="Arial" w:cs="Arial"/>
          <w:color w:val="000000" w:themeColor="text1"/>
          <w:sz w:val="24"/>
          <w:szCs w:val="24"/>
        </w:rPr>
      </w:pPr>
    </w:p>
    <w:p w14:paraId="4FCF2793" w14:textId="5E39B172" w:rsidR="00091066" w:rsidRPr="00091066" w:rsidRDefault="00091066" w:rsidP="00EE6831">
      <w:pPr>
        <w:spacing w:line="240" w:lineRule="auto"/>
      </w:pPr>
      <w:r w:rsidRPr="3B954121">
        <w:rPr>
          <w:rFonts w:ascii="Arial" w:hAnsi="Arial" w:cs="Arial"/>
          <w:color w:val="000000" w:themeColor="text1"/>
          <w:sz w:val="24"/>
          <w:szCs w:val="24"/>
        </w:rPr>
        <w:t xml:space="preserve">A full technical specification providing detailed information of the school level data is available on the </w:t>
      </w:r>
      <w:r w:rsidR="000F3367">
        <w:rPr>
          <w:rFonts w:ascii="Arial" w:hAnsi="Arial" w:cs="Arial"/>
          <w:color w:val="000000" w:themeColor="text1"/>
          <w:sz w:val="24"/>
          <w:szCs w:val="24"/>
        </w:rPr>
        <w:t>DfE</w:t>
      </w:r>
      <w:r>
        <w:rPr>
          <w:rFonts w:ascii="Arial" w:hAnsi="Arial" w:cs="Arial"/>
          <w:color w:val="000000" w:themeColor="text1"/>
          <w:sz w:val="24"/>
          <w:szCs w:val="24"/>
        </w:rPr>
        <w:t xml:space="preserve"> </w:t>
      </w:r>
      <w:r w:rsidRPr="3B954121">
        <w:rPr>
          <w:rFonts w:ascii="Arial" w:hAnsi="Arial" w:cs="Arial"/>
          <w:color w:val="000000" w:themeColor="text1"/>
          <w:sz w:val="24"/>
          <w:szCs w:val="24"/>
        </w:rPr>
        <w:t xml:space="preserve">website:  </w:t>
      </w:r>
      <w:hyperlink r:id="rId15">
        <w:r w:rsidRPr="3B954121">
          <w:rPr>
            <w:rStyle w:val="Hyperlink"/>
            <w:rFonts w:ascii="Arial" w:hAnsi="Arial" w:cs="Arial"/>
            <w:sz w:val="24"/>
            <w:szCs w:val="24"/>
          </w:rPr>
          <w:t>Schools Block Dataset Technical Specification</w:t>
        </w:r>
      </w:hyperlink>
    </w:p>
    <w:p w14:paraId="1CE24575" w14:textId="41B830CA" w:rsidR="008443BE" w:rsidRDefault="008443BE" w:rsidP="00EE6831">
      <w:pPr>
        <w:spacing w:after="100" w:afterAutospacing="1" w:line="240" w:lineRule="auto"/>
        <w:rPr>
          <w:rFonts w:ascii="Arial" w:hAnsi="Arial" w:cs="Arial"/>
          <w:b/>
          <w:bCs/>
          <w:sz w:val="24"/>
          <w:szCs w:val="24"/>
          <w:u w:val="single"/>
        </w:rPr>
      </w:pPr>
      <w:r w:rsidRPr="00042AB3">
        <w:rPr>
          <w:rFonts w:ascii="Arial" w:hAnsi="Arial" w:cs="Arial"/>
          <w:b/>
          <w:bCs/>
          <w:sz w:val="24"/>
          <w:szCs w:val="24"/>
          <w:u w:val="single"/>
        </w:rPr>
        <w:t>Pupil Led Factors</w:t>
      </w:r>
    </w:p>
    <w:p w14:paraId="06C24216" w14:textId="4E74DFFE" w:rsidR="008443BE" w:rsidRDefault="00042AB3" w:rsidP="00EE6831">
      <w:pPr>
        <w:spacing w:after="100" w:afterAutospacing="1" w:line="240" w:lineRule="auto"/>
        <w:rPr>
          <w:rFonts w:ascii="Arial" w:hAnsi="Arial" w:cs="Arial"/>
          <w:b/>
          <w:sz w:val="24"/>
          <w:szCs w:val="24"/>
        </w:rPr>
      </w:pPr>
      <w:r w:rsidRPr="006B3AC8">
        <w:rPr>
          <w:rFonts w:ascii="Arial" w:hAnsi="Arial" w:cs="Arial"/>
          <w:b/>
          <w:sz w:val="24"/>
          <w:szCs w:val="24"/>
        </w:rPr>
        <w:t>Basic entitlement (Age Weighted Pupil Unit)</w:t>
      </w:r>
    </w:p>
    <w:p w14:paraId="1951C447" w14:textId="6B30D674" w:rsidR="00042AB3" w:rsidRDefault="003B1001" w:rsidP="00EE6831">
      <w:pPr>
        <w:spacing w:after="0" w:line="240" w:lineRule="auto"/>
        <w:rPr>
          <w:rFonts w:ascii="Arial" w:hAnsi="Arial" w:cs="Arial"/>
          <w:sz w:val="24"/>
          <w:szCs w:val="24"/>
        </w:rPr>
      </w:pPr>
      <w:r w:rsidRPr="00C709AB">
        <w:rPr>
          <w:rFonts w:ascii="Arial" w:hAnsi="Arial" w:cs="Arial"/>
          <w:sz w:val="24"/>
        </w:rPr>
        <w:t xml:space="preserve">Each pupil will attract </w:t>
      </w:r>
      <w:r w:rsidR="00C709AB" w:rsidRPr="00C709AB">
        <w:rPr>
          <w:rFonts w:ascii="Arial" w:hAnsi="Arial" w:cs="Arial"/>
          <w:sz w:val="24"/>
        </w:rPr>
        <w:t xml:space="preserve">a </w:t>
      </w:r>
      <w:r w:rsidR="00867663">
        <w:rPr>
          <w:rFonts w:ascii="Arial" w:hAnsi="Arial" w:cs="Arial"/>
          <w:sz w:val="24"/>
          <w:szCs w:val="24"/>
        </w:rPr>
        <w:t xml:space="preserve">single unit </w:t>
      </w:r>
      <w:r w:rsidR="00C709AB" w:rsidRPr="0058465F">
        <w:rPr>
          <w:rFonts w:ascii="Arial" w:hAnsi="Arial" w:cs="Arial"/>
          <w:sz w:val="24"/>
          <w:szCs w:val="24"/>
        </w:rPr>
        <w:t>for primary aged pupils and a single unit for each of Key Stage 3 and Key Stage 4</w:t>
      </w:r>
      <w:r w:rsidR="00867663">
        <w:rPr>
          <w:rFonts w:ascii="Arial" w:hAnsi="Arial" w:cs="Arial"/>
          <w:sz w:val="24"/>
          <w:szCs w:val="24"/>
        </w:rPr>
        <w:t>:</w:t>
      </w:r>
    </w:p>
    <w:p w14:paraId="24DDE738" w14:textId="77777777" w:rsidR="00F6757D" w:rsidRDefault="00F6757D" w:rsidP="00C709AB">
      <w:pPr>
        <w:spacing w:after="0"/>
        <w:rPr>
          <w:rFonts w:ascii="Arial" w:hAnsi="Arial" w:cs="Arial"/>
          <w:sz w:val="24"/>
          <w:szCs w:val="24"/>
        </w:rPr>
      </w:pPr>
    </w:p>
    <w:tbl>
      <w:tblPr>
        <w:tblStyle w:val="TableGrid"/>
        <w:tblW w:w="0" w:type="auto"/>
        <w:tblLook w:val="04A0" w:firstRow="1" w:lastRow="0" w:firstColumn="1" w:lastColumn="0" w:noHBand="0" w:noVBand="1"/>
      </w:tblPr>
      <w:tblGrid>
        <w:gridCol w:w="2268"/>
        <w:gridCol w:w="2268"/>
        <w:gridCol w:w="2268"/>
      </w:tblGrid>
      <w:tr w:rsidR="00F6757D" w:rsidRPr="0058465F" w14:paraId="1D1A72C5" w14:textId="77777777" w:rsidTr="00461E16">
        <w:trPr>
          <w:trHeight w:val="397"/>
          <w:tblHeader/>
        </w:trPr>
        <w:tc>
          <w:tcPr>
            <w:tcW w:w="2268" w:type="dxa"/>
            <w:tcBorders>
              <w:top w:val="single" w:sz="4" w:space="0" w:color="auto"/>
            </w:tcBorders>
            <w:shd w:val="clear" w:color="auto" w:fill="D9D9D9" w:themeFill="background1" w:themeFillShade="D9"/>
            <w:vAlign w:val="center"/>
          </w:tcPr>
          <w:p w14:paraId="0BBBD021" w14:textId="77777777" w:rsidR="00F6757D" w:rsidRPr="00AA0224" w:rsidRDefault="00F6757D" w:rsidP="00973CD9">
            <w:pPr>
              <w:pStyle w:val="ListParagraph"/>
              <w:ind w:left="0"/>
              <w:jc w:val="center"/>
              <w:rPr>
                <w:rFonts w:ascii="Arial" w:hAnsi="Arial" w:cs="Arial"/>
                <w:b/>
                <w:sz w:val="24"/>
                <w:szCs w:val="24"/>
              </w:rPr>
            </w:pPr>
            <w:r w:rsidRPr="00AA0224">
              <w:rPr>
                <w:rFonts w:ascii="Arial" w:hAnsi="Arial" w:cs="Arial"/>
                <w:b/>
                <w:sz w:val="24"/>
                <w:szCs w:val="24"/>
              </w:rPr>
              <w:t>Primary</w:t>
            </w:r>
          </w:p>
        </w:tc>
        <w:tc>
          <w:tcPr>
            <w:tcW w:w="2268" w:type="dxa"/>
            <w:tcBorders>
              <w:top w:val="single" w:sz="4" w:space="0" w:color="auto"/>
            </w:tcBorders>
            <w:shd w:val="clear" w:color="auto" w:fill="D9D9D9" w:themeFill="background1" w:themeFillShade="D9"/>
            <w:vAlign w:val="center"/>
          </w:tcPr>
          <w:p w14:paraId="5B48A818" w14:textId="52DB69F4" w:rsidR="00F6757D" w:rsidRDefault="00F6757D" w:rsidP="00BE1A20">
            <w:pPr>
              <w:pStyle w:val="ListParagraph"/>
              <w:ind w:left="0"/>
              <w:jc w:val="center"/>
              <w:rPr>
                <w:rFonts w:ascii="Arial" w:hAnsi="Arial" w:cs="Arial"/>
                <w:b/>
                <w:sz w:val="24"/>
                <w:szCs w:val="24"/>
              </w:rPr>
            </w:pPr>
            <w:r>
              <w:rPr>
                <w:rFonts w:ascii="Arial" w:hAnsi="Arial" w:cs="Arial"/>
                <w:b/>
                <w:sz w:val="24"/>
                <w:szCs w:val="24"/>
              </w:rPr>
              <w:t>Key Stage 3</w:t>
            </w:r>
          </w:p>
        </w:tc>
        <w:tc>
          <w:tcPr>
            <w:tcW w:w="2268" w:type="dxa"/>
            <w:tcBorders>
              <w:top w:val="single" w:sz="4" w:space="0" w:color="auto"/>
            </w:tcBorders>
            <w:shd w:val="clear" w:color="auto" w:fill="D9D9D9" w:themeFill="background1" w:themeFillShade="D9"/>
            <w:vAlign w:val="center"/>
          </w:tcPr>
          <w:p w14:paraId="2CE8E88B" w14:textId="70D97719" w:rsidR="00F6757D" w:rsidRDefault="0E89B2CC" w:rsidP="00BE1A20">
            <w:pPr>
              <w:pStyle w:val="ListParagraph"/>
              <w:ind w:left="0"/>
              <w:jc w:val="center"/>
              <w:rPr>
                <w:rFonts w:ascii="Arial" w:hAnsi="Arial" w:cs="Arial"/>
                <w:b/>
                <w:bCs/>
                <w:sz w:val="24"/>
                <w:szCs w:val="24"/>
              </w:rPr>
            </w:pPr>
            <w:r w:rsidRPr="434B0208">
              <w:rPr>
                <w:rFonts w:ascii="Arial" w:hAnsi="Arial" w:cs="Arial"/>
                <w:b/>
                <w:bCs/>
                <w:sz w:val="24"/>
                <w:szCs w:val="24"/>
              </w:rPr>
              <w:t>Key Stage 4</w:t>
            </w:r>
          </w:p>
        </w:tc>
      </w:tr>
      <w:tr w:rsidR="00F6757D" w:rsidRPr="00B37D49" w14:paraId="7A98E3E4" w14:textId="77777777" w:rsidTr="00461E16">
        <w:trPr>
          <w:trHeight w:val="397"/>
        </w:trPr>
        <w:tc>
          <w:tcPr>
            <w:tcW w:w="2268" w:type="dxa"/>
            <w:vAlign w:val="center"/>
          </w:tcPr>
          <w:p w14:paraId="1AB1A37F" w14:textId="79450F3D" w:rsidR="00F6757D" w:rsidRPr="00B37D49" w:rsidRDefault="00F6757D" w:rsidP="00F6757D">
            <w:pPr>
              <w:pStyle w:val="ListParagraph"/>
              <w:ind w:left="0"/>
              <w:jc w:val="center"/>
              <w:rPr>
                <w:rFonts w:ascii="Arial" w:hAnsi="Arial" w:cs="Arial"/>
                <w:sz w:val="24"/>
                <w:szCs w:val="24"/>
              </w:rPr>
            </w:pPr>
            <w:r>
              <w:rPr>
                <w:rFonts w:ascii="Arial" w:hAnsi="Arial" w:cs="Arial"/>
                <w:sz w:val="24"/>
                <w:szCs w:val="24"/>
              </w:rPr>
              <w:t>£</w:t>
            </w:r>
            <w:r w:rsidR="00023A53">
              <w:rPr>
                <w:rFonts w:ascii="Arial" w:hAnsi="Arial" w:cs="Arial"/>
                <w:sz w:val="24"/>
                <w:szCs w:val="24"/>
              </w:rPr>
              <w:t>4,</w:t>
            </w:r>
            <w:r w:rsidR="00B91F97">
              <w:rPr>
                <w:rFonts w:ascii="Arial" w:hAnsi="Arial" w:cs="Arial"/>
                <w:sz w:val="24"/>
                <w:szCs w:val="24"/>
              </w:rPr>
              <w:t>0</w:t>
            </w:r>
            <w:r w:rsidR="004511D1">
              <w:rPr>
                <w:rFonts w:ascii="Arial" w:hAnsi="Arial" w:cs="Arial"/>
                <w:sz w:val="24"/>
                <w:szCs w:val="24"/>
              </w:rPr>
              <w:t>85.72</w:t>
            </w:r>
          </w:p>
        </w:tc>
        <w:tc>
          <w:tcPr>
            <w:tcW w:w="2268" w:type="dxa"/>
            <w:vAlign w:val="center"/>
          </w:tcPr>
          <w:p w14:paraId="3CB6594C" w14:textId="1AF9B127" w:rsidR="00F6757D" w:rsidRPr="00B37D49" w:rsidRDefault="004511D1" w:rsidP="00BE1A20">
            <w:pPr>
              <w:pStyle w:val="ListParagraph"/>
              <w:ind w:left="0"/>
              <w:jc w:val="center"/>
              <w:rPr>
                <w:rFonts w:ascii="Arial" w:hAnsi="Arial" w:cs="Arial"/>
                <w:sz w:val="24"/>
                <w:szCs w:val="24"/>
              </w:rPr>
            </w:pPr>
            <w:r>
              <w:rPr>
                <w:rFonts w:ascii="Arial" w:hAnsi="Arial" w:cs="Arial"/>
                <w:sz w:val="24"/>
                <w:szCs w:val="24"/>
              </w:rPr>
              <w:t>£5,716.39</w:t>
            </w:r>
          </w:p>
        </w:tc>
        <w:tc>
          <w:tcPr>
            <w:tcW w:w="2268" w:type="dxa"/>
            <w:vAlign w:val="center"/>
          </w:tcPr>
          <w:p w14:paraId="74227EBE" w14:textId="0AC6D0C7" w:rsidR="00F6757D" w:rsidRPr="00B37D49" w:rsidRDefault="004511D1" w:rsidP="00BE1A20">
            <w:pPr>
              <w:pStyle w:val="ListParagraph"/>
              <w:ind w:left="0"/>
              <w:jc w:val="center"/>
              <w:rPr>
                <w:rFonts w:ascii="Arial" w:hAnsi="Arial" w:cs="Arial"/>
                <w:sz w:val="24"/>
                <w:szCs w:val="24"/>
              </w:rPr>
            </w:pPr>
            <w:r>
              <w:rPr>
                <w:rFonts w:ascii="Arial" w:hAnsi="Arial" w:cs="Arial"/>
                <w:sz w:val="24"/>
                <w:szCs w:val="24"/>
              </w:rPr>
              <w:t>£6,444.26</w:t>
            </w:r>
          </w:p>
        </w:tc>
      </w:tr>
    </w:tbl>
    <w:p w14:paraId="6C67D858" w14:textId="51052190" w:rsidR="00203263" w:rsidRDefault="00203263" w:rsidP="00EE6831">
      <w:pPr>
        <w:spacing w:before="100" w:beforeAutospacing="1" w:after="100" w:afterAutospacing="1" w:line="240" w:lineRule="auto"/>
        <w:rPr>
          <w:rFonts w:ascii="Arial" w:hAnsi="Arial" w:cs="Arial"/>
          <w:b/>
          <w:bCs/>
          <w:sz w:val="24"/>
          <w:szCs w:val="24"/>
          <w:u w:val="single"/>
        </w:rPr>
      </w:pPr>
      <w:r w:rsidRPr="00ED7F2F">
        <w:rPr>
          <w:rFonts w:ascii="Arial" w:hAnsi="Arial" w:cs="Arial"/>
          <w:b/>
          <w:bCs/>
          <w:sz w:val="24"/>
          <w:szCs w:val="24"/>
          <w:u w:val="single"/>
        </w:rPr>
        <w:t xml:space="preserve">Additional </w:t>
      </w:r>
      <w:r w:rsidR="00ED7F2F" w:rsidRPr="00ED7F2F">
        <w:rPr>
          <w:rFonts w:ascii="Arial" w:hAnsi="Arial" w:cs="Arial"/>
          <w:b/>
          <w:bCs/>
          <w:sz w:val="24"/>
          <w:szCs w:val="24"/>
          <w:u w:val="single"/>
        </w:rPr>
        <w:t>Needs Factors</w:t>
      </w:r>
    </w:p>
    <w:p w14:paraId="4E1C8F49" w14:textId="765B0F4F" w:rsidR="00ED7F2F" w:rsidRDefault="00ED7F2F" w:rsidP="00EE6831">
      <w:pPr>
        <w:spacing w:before="100" w:beforeAutospacing="1" w:after="100" w:afterAutospacing="1" w:line="240" w:lineRule="auto"/>
        <w:rPr>
          <w:rFonts w:ascii="Arial" w:hAnsi="Arial" w:cs="Arial"/>
          <w:sz w:val="24"/>
          <w:szCs w:val="24"/>
        </w:rPr>
      </w:pPr>
      <w:r w:rsidRPr="00113FE0">
        <w:rPr>
          <w:rFonts w:ascii="Arial" w:hAnsi="Arial" w:cs="Arial"/>
          <w:b/>
          <w:bCs/>
          <w:sz w:val="24"/>
          <w:szCs w:val="24"/>
        </w:rPr>
        <w:t>Deprivation</w:t>
      </w:r>
    </w:p>
    <w:p w14:paraId="369435A0" w14:textId="0E7F7D33" w:rsidR="00113FE0" w:rsidRDefault="00113FE0" w:rsidP="009660BA">
      <w:pPr>
        <w:spacing w:after="0" w:line="240" w:lineRule="auto"/>
        <w:rPr>
          <w:rFonts w:ascii="Arial" w:hAnsi="Arial" w:cs="Arial"/>
          <w:sz w:val="24"/>
          <w:szCs w:val="24"/>
        </w:rPr>
      </w:pPr>
      <w:r w:rsidRPr="4795BA8F">
        <w:rPr>
          <w:rFonts w:ascii="Arial" w:hAnsi="Arial" w:cs="Arial"/>
          <w:sz w:val="24"/>
          <w:szCs w:val="24"/>
        </w:rPr>
        <w:t>Pupil deprivation is based on three deprivation measures – current Free School Meal (FSM) eligibility, FSM eligibility at any time in the last 6 years (“FSM6”), and the level of deprivation in the postcode where the pupil lives, which is measured using the Income Deprivation Affecting Children Index (IDACI)</w:t>
      </w:r>
      <w:r w:rsidR="004570D6">
        <w:rPr>
          <w:rFonts w:ascii="Arial" w:hAnsi="Arial" w:cs="Arial"/>
          <w:sz w:val="24"/>
          <w:szCs w:val="24"/>
        </w:rPr>
        <w:t>.</w:t>
      </w:r>
    </w:p>
    <w:p w14:paraId="11945D82" w14:textId="52C31625" w:rsidR="00113FE0" w:rsidRDefault="00113FE0" w:rsidP="009660BA">
      <w:pPr>
        <w:spacing w:after="0" w:line="240" w:lineRule="auto"/>
        <w:rPr>
          <w:rFonts w:ascii="Arial" w:hAnsi="Arial" w:cs="Arial"/>
          <w:sz w:val="24"/>
          <w:szCs w:val="24"/>
        </w:rPr>
      </w:pPr>
    </w:p>
    <w:p w14:paraId="76F4D8FF" w14:textId="3B56594A" w:rsidR="00113FE0" w:rsidRPr="00ED6A96" w:rsidRDefault="000241D4" w:rsidP="009660BA">
      <w:pPr>
        <w:pStyle w:val="ListParagraph"/>
        <w:numPr>
          <w:ilvl w:val="0"/>
          <w:numId w:val="46"/>
        </w:numPr>
        <w:spacing w:after="0" w:line="240" w:lineRule="auto"/>
        <w:rPr>
          <w:rFonts w:ascii="Arial" w:hAnsi="Arial" w:cs="Arial"/>
          <w:sz w:val="24"/>
          <w:szCs w:val="24"/>
        </w:rPr>
      </w:pPr>
      <w:r w:rsidRPr="00ED6A96">
        <w:rPr>
          <w:rFonts w:ascii="Arial" w:hAnsi="Arial" w:cs="Arial"/>
          <w:sz w:val="24"/>
          <w:szCs w:val="24"/>
        </w:rPr>
        <w:t>Free School Meals (FSM)</w:t>
      </w:r>
    </w:p>
    <w:p w14:paraId="3D88A10D" w14:textId="77777777" w:rsidR="000241D4" w:rsidRDefault="000241D4" w:rsidP="009660BA">
      <w:pPr>
        <w:spacing w:after="0" w:line="240" w:lineRule="auto"/>
        <w:rPr>
          <w:rFonts w:ascii="Arial" w:hAnsi="Arial" w:cs="Arial"/>
          <w:sz w:val="24"/>
          <w:szCs w:val="24"/>
        </w:rPr>
      </w:pPr>
    </w:p>
    <w:p w14:paraId="00745623" w14:textId="73F4A9DC" w:rsidR="00ED6A96" w:rsidRDefault="005A0028" w:rsidP="009660BA">
      <w:pPr>
        <w:spacing w:after="0" w:line="240" w:lineRule="auto"/>
        <w:rPr>
          <w:rFonts w:ascii="Arial" w:hAnsi="Arial" w:cs="Arial"/>
          <w:sz w:val="24"/>
          <w:szCs w:val="24"/>
        </w:rPr>
      </w:pPr>
      <w:r>
        <w:rPr>
          <w:rFonts w:ascii="Arial" w:hAnsi="Arial" w:cs="Arial"/>
          <w:sz w:val="24"/>
          <w:szCs w:val="24"/>
        </w:rPr>
        <w:t xml:space="preserve">All pupils </w:t>
      </w:r>
      <w:r w:rsidR="00ED6A96" w:rsidRPr="00ED6A96">
        <w:rPr>
          <w:rFonts w:ascii="Arial" w:hAnsi="Arial" w:cs="Arial"/>
          <w:sz w:val="24"/>
          <w:szCs w:val="24"/>
        </w:rPr>
        <w:t xml:space="preserve">who are eligible for free school meals. This funding is broadly intended to cover the cost of providing free meals for each eligible pupil. A pupil is eligible for FSM if they meet the criteria set out in: </w:t>
      </w:r>
      <w:hyperlink r:id="rId16" w:history="1">
        <w:r w:rsidR="00ED6A96" w:rsidRPr="00ED6A96">
          <w:rPr>
            <w:rStyle w:val="Hyperlink"/>
            <w:rFonts w:ascii="Arial" w:hAnsi="Arial" w:cs="Arial"/>
            <w:sz w:val="24"/>
            <w:szCs w:val="24"/>
          </w:rPr>
          <w:t>https://www.gov.uk/government/publications/free-school-meals-guidance-for-schools-and-local-authorities</w:t>
        </w:r>
      </w:hyperlink>
    </w:p>
    <w:p w14:paraId="2E0B2931" w14:textId="77777777" w:rsidR="009709DE" w:rsidRDefault="009709DE" w:rsidP="009660BA">
      <w:pPr>
        <w:spacing w:after="0" w:line="240" w:lineRule="auto"/>
        <w:rPr>
          <w:rFonts w:ascii="Arial" w:hAnsi="Arial" w:cs="Arial"/>
          <w:sz w:val="24"/>
          <w:szCs w:val="24"/>
        </w:rPr>
      </w:pPr>
    </w:p>
    <w:tbl>
      <w:tblPr>
        <w:tblStyle w:val="TableGrid"/>
        <w:tblW w:w="4536" w:type="dxa"/>
        <w:tblInd w:w="-5" w:type="dxa"/>
        <w:tblLayout w:type="fixed"/>
        <w:tblLook w:val="04A0" w:firstRow="1" w:lastRow="0" w:firstColumn="1" w:lastColumn="0" w:noHBand="0" w:noVBand="1"/>
      </w:tblPr>
      <w:tblGrid>
        <w:gridCol w:w="2268"/>
        <w:gridCol w:w="2268"/>
      </w:tblGrid>
      <w:tr w:rsidR="009709DE" w:rsidRPr="0058465F" w14:paraId="04668F1A" w14:textId="77777777" w:rsidTr="00461E16">
        <w:trPr>
          <w:trHeight w:val="397"/>
          <w:tblHeader/>
        </w:trPr>
        <w:tc>
          <w:tcPr>
            <w:tcW w:w="2268" w:type="dxa"/>
            <w:tcBorders>
              <w:top w:val="single" w:sz="4" w:space="0" w:color="auto"/>
            </w:tcBorders>
            <w:shd w:val="clear" w:color="auto" w:fill="D9D9D9" w:themeFill="background1" w:themeFillShade="D9"/>
            <w:vAlign w:val="center"/>
          </w:tcPr>
          <w:p w14:paraId="26AE9E70" w14:textId="77777777" w:rsidR="009709DE" w:rsidRPr="00AA0224" w:rsidRDefault="009709DE" w:rsidP="009660BA">
            <w:pPr>
              <w:pStyle w:val="ListParagraph"/>
              <w:ind w:left="0"/>
              <w:jc w:val="center"/>
              <w:rPr>
                <w:rFonts w:ascii="Arial" w:hAnsi="Arial" w:cs="Arial"/>
                <w:b/>
                <w:sz w:val="24"/>
                <w:szCs w:val="24"/>
              </w:rPr>
            </w:pPr>
            <w:r w:rsidRPr="00AA0224">
              <w:rPr>
                <w:rFonts w:ascii="Arial" w:hAnsi="Arial" w:cs="Arial"/>
                <w:b/>
                <w:sz w:val="24"/>
                <w:szCs w:val="24"/>
              </w:rPr>
              <w:t>Primary</w:t>
            </w:r>
          </w:p>
        </w:tc>
        <w:tc>
          <w:tcPr>
            <w:tcW w:w="2268" w:type="dxa"/>
            <w:tcBorders>
              <w:top w:val="single" w:sz="4" w:space="0" w:color="auto"/>
            </w:tcBorders>
            <w:shd w:val="clear" w:color="auto" w:fill="D9D9D9" w:themeFill="background1" w:themeFillShade="D9"/>
            <w:vAlign w:val="center"/>
          </w:tcPr>
          <w:p w14:paraId="1400F93F" w14:textId="77777777" w:rsidR="009709DE" w:rsidRDefault="009709DE" w:rsidP="009660BA">
            <w:pPr>
              <w:pStyle w:val="ListParagraph"/>
              <w:ind w:left="0"/>
              <w:jc w:val="center"/>
              <w:rPr>
                <w:rFonts w:ascii="Arial" w:hAnsi="Arial" w:cs="Arial"/>
                <w:b/>
                <w:sz w:val="24"/>
                <w:szCs w:val="24"/>
              </w:rPr>
            </w:pPr>
            <w:r>
              <w:rPr>
                <w:rFonts w:ascii="Arial" w:hAnsi="Arial" w:cs="Arial"/>
                <w:b/>
                <w:sz w:val="24"/>
                <w:szCs w:val="24"/>
              </w:rPr>
              <w:t>Secondary</w:t>
            </w:r>
          </w:p>
        </w:tc>
      </w:tr>
      <w:tr w:rsidR="009709DE" w:rsidRPr="00B37D49" w14:paraId="13CEF6A4" w14:textId="77777777" w:rsidTr="00461E16">
        <w:trPr>
          <w:trHeight w:val="397"/>
        </w:trPr>
        <w:tc>
          <w:tcPr>
            <w:tcW w:w="2268" w:type="dxa"/>
            <w:vAlign w:val="center"/>
          </w:tcPr>
          <w:p w14:paraId="6D8C882C" w14:textId="7D022C5E" w:rsidR="009709DE" w:rsidRPr="00B37D49" w:rsidRDefault="009709DE" w:rsidP="009660BA">
            <w:pPr>
              <w:pStyle w:val="ListParagraph"/>
              <w:ind w:left="0"/>
              <w:jc w:val="center"/>
              <w:rPr>
                <w:rFonts w:ascii="Arial" w:hAnsi="Arial" w:cs="Arial"/>
                <w:sz w:val="24"/>
                <w:szCs w:val="24"/>
              </w:rPr>
            </w:pPr>
            <w:r>
              <w:rPr>
                <w:rFonts w:ascii="Arial" w:hAnsi="Arial" w:cs="Arial"/>
                <w:sz w:val="24"/>
                <w:szCs w:val="24"/>
              </w:rPr>
              <w:t>£</w:t>
            </w:r>
            <w:r w:rsidR="00417EC2">
              <w:rPr>
                <w:rFonts w:ascii="Arial" w:hAnsi="Arial" w:cs="Arial"/>
                <w:sz w:val="24"/>
                <w:szCs w:val="24"/>
              </w:rPr>
              <w:t>507.70</w:t>
            </w:r>
          </w:p>
        </w:tc>
        <w:tc>
          <w:tcPr>
            <w:tcW w:w="2268" w:type="dxa"/>
            <w:vAlign w:val="center"/>
          </w:tcPr>
          <w:p w14:paraId="4350F4DF" w14:textId="7FB4AB21" w:rsidR="009709DE" w:rsidRPr="00B37D49" w:rsidRDefault="009709DE" w:rsidP="009660BA">
            <w:pPr>
              <w:pStyle w:val="ListParagraph"/>
              <w:ind w:left="0"/>
              <w:jc w:val="center"/>
              <w:rPr>
                <w:rFonts w:ascii="Arial" w:hAnsi="Arial" w:cs="Arial"/>
                <w:sz w:val="24"/>
                <w:szCs w:val="24"/>
              </w:rPr>
            </w:pPr>
            <w:r>
              <w:rPr>
                <w:rFonts w:ascii="Arial" w:hAnsi="Arial" w:cs="Arial"/>
                <w:sz w:val="24"/>
                <w:szCs w:val="24"/>
              </w:rPr>
              <w:t>£</w:t>
            </w:r>
            <w:r w:rsidR="00417EC2">
              <w:rPr>
                <w:rFonts w:ascii="Arial" w:hAnsi="Arial" w:cs="Arial"/>
                <w:sz w:val="24"/>
                <w:szCs w:val="24"/>
              </w:rPr>
              <w:t>507.70</w:t>
            </w:r>
          </w:p>
        </w:tc>
      </w:tr>
    </w:tbl>
    <w:p w14:paraId="674B96FA" w14:textId="77777777" w:rsidR="009709DE" w:rsidRDefault="009709DE" w:rsidP="009660BA">
      <w:pPr>
        <w:spacing w:after="0" w:line="240" w:lineRule="auto"/>
        <w:rPr>
          <w:rFonts w:ascii="Arial" w:hAnsi="Arial" w:cs="Arial"/>
          <w:sz w:val="24"/>
          <w:szCs w:val="24"/>
        </w:rPr>
      </w:pPr>
    </w:p>
    <w:p w14:paraId="414393B9" w14:textId="74E9AA96" w:rsidR="00B7269B" w:rsidRPr="00473810" w:rsidRDefault="00B7269B" w:rsidP="009660BA">
      <w:pPr>
        <w:pStyle w:val="ListParagraph"/>
        <w:numPr>
          <w:ilvl w:val="0"/>
          <w:numId w:val="46"/>
        </w:numPr>
        <w:spacing w:after="0" w:line="240" w:lineRule="auto"/>
        <w:rPr>
          <w:rFonts w:ascii="Arial" w:hAnsi="Arial" w:cs="Arial"/>
          <w:sz w:val="24"/>
          <w:szCs w:val="24"/>
        </w:rPr>
      </w:pPr>
      <w:r w:rsidRPr="00473810">
        <w:rPr>
          <w:rFonts w:ascii="Arial" w:hAnsi="Arial" w:cs="Arial"/>
          <w:sz w:val="24"/>
          <w:szCs w:val="24"/>
        </w:rPr>
        <w:t>Free School Meals Ever 6 (FSM6)</w:t>
      </w:r>
    </w:p>
    <w:p w14:paraId="5B763492" w14:textId="77777777" w:rsidR="00B7269B" w:rsidRDefault="00B7269B" w:rsidP="009660BA">
      <w:pPr>
        <w:spacing w:after="0" w:line="240" w:lineRule="auto"/>
        <w:rPr>
          <w:rFonts w:ascii="Arial" w:hAnsi="Arial" w:cs="Arial"/>
          <w:sz w:val="24"/>
          <w:szCs w:val="24"/>
        </w:rPr>
      </w:pPr>
    </w:p>
    <w:p w14:paraId="7FB1C2DD" w14:textId="4BF2D47C" w:rsidR="00B7269B" w:rsidRDefault="005A0028" w:rsidP="009660BA">
      <w:pPr>
        <w:spacing w:after="0" w:line="240" w:lineRule="auto"/>
        <w:rPr>
          <w:rFonts w:ascii="Arial" w:hAnsi="Arial" w:cs="Arial"/>
          <w:sz w:val="24"/>
          <w:szCs w:val="24"/>
        </w:rPr>
      </w:pPr>
      <w:r w:rsidRPr="005A0028">
        <w:rPr>
          <w:rFonts w:ascii="Arial" w:hAnsi="Arial" w:cs="Arial"/>
          <w:sz w:val="24"/>
          <w:szCs w:val="24"/>
        </w:rPr>
        <w:t>All pupils who are recorded as eligible for free school meals, or who have been at any point in the last six years, attract funding through the “FSM6” factor</w:t>
      </w:r>
      <w:r w:rsidR="004570D6">
        <w:rPr>
          <w:rFonts w:ascii="Arial" w:hAnsi="Arial" w:cs="Arial"/>
          <w:sz w:val="24"/>
          <w:szCs w:val="24"/>
        </w:rPr>
        <w:t>.</w:t>
      </w:r>
    </w:p>
    <w:p w14:paraId="60BB1450" w14:textId="77777777" w:rsidR="005A0028" w:rsidRDefault="005A0028" w:rsidP="009660BA">
      <w:pPr>
        <w:spacing w:after="0" w:line="240" w:lineRule="auto"/>
        <w:rPr>
          <w:rFonts w:ascii="Arial" w:hAnsi="Arial" w:cs="Arial"/>
          <w:sz w:val="24"/>
          <w:szCs w:val="24"/>
        </w:rPr>
      </w:pPr>
    </w:p>
    <w:tbl>
      <w:tblPr>
        <w:tblStyle w:val="TableGrid"/>
        <w:tblW w:w="4536" w:type="dxa"/>
        <w:tblInd w:w="-5" w:type="dxa"/>
        <w:tblLayout w:type="fixed"/>
        <w:tblLook w:val="04A0" w:firstRow="1" w:lastRow="0" w:firstColumn="1" w:lastColumn="0" w:noHBand="0" w:noVBand="1"/>
      </w:tblPr>
      <w:tblGrid>
        <w:gridCol w:w="2268"/>
        <w:gridCol w:w="2268"/>
      </w:tblGrid>
      <w:tr w:rsidR="005A0028" w:rsidRPr="0058465F" w14:paraId="1162A6BA" w14:textId="77777777" w:rsidTr="00461E16">
        <w:trPr>
          <w:trHeight w:val="397"/>
          <w:tblHeader/>
        </w:trPr>
        <w:tc>
          <w:tcPr>
            <w:tcW w:w="2268" w:type="dxa"/>
            <w:tcBorders>
              <w:top w:val="single" w:sz="4" w:space="0" w:color="auto"/>
            </w:tcBorders>
            <w:shd w:val="clear" w:color="auto" w:fill="D9D9D9" w:themeFill="background1" w:themeFillShade="D9"/>
            <w:vAlign w:val="center"/>
          </w:tcPr>
          <w:p w14:paraId="0807FF23" w14:textId="77777777" w:rsidR="005A0028" w:rsidRPr="00AA0224" w:rsidRDefault="005A0028" w:rsidP="009660BA">
            <w:pPr>
              <w:pStyle w:val="ListParagraph"/>
              <w:ind w:left="0"/>
              <w:jc w:val="center"/>
              <w:rPr>
                <w:rFonts w:ascii="Arial" w:hAnsi="Arial" w:cs="Arial"/>
                <w:b/>
                <w:sz w:val="24"/>
                <w:szCs w:val="24"/>
              </w:rPr>
            </w:pPr>
            <w:r w:rsidRPr="00AA0224">
              <w:rPr>
                <w:rFonts w:ascii="Arial" w:hAnsi="Arial" w:cs="Arial"/>
                <w:b/>
                <w:sz w:val="24"/>
                <w:szCs w:val="24"/>
              </w:rPr>
              <w:t>Primary</w:t>
            </w:r>
          </w:p>
        </w:tc>
        <w:tc>
          <w:tcPr>
            <w:tcW w:w="2268" w:type="dxa"/>
            <w:tcBorders>
              <w:top w:val="single" w:sz="4" w:space="0" w:color="auto"/>
            </w:tcBorders>
            <w:shd w:val="clear" w:color="auto" w:fill="D9D9D9" w:themeFill="background1" w:themeFillShade="D9"/>
            <w:vAlign w:val="center"/>
          </w:tcPr>
          <w:p w14:paraId="35D3975D" w14:textId="77777777" w:rsidR="005A0028" w:rsidRDefault="005A0028" w:rsidP="009660BA">
            <w:pPr>
              <w:pStyle w:val="ListParagraph"/>
              <w:ind w:left="0"/>
              <w:jc w:val="center"/>
              <w:rPr>
                <w:rFonts w:ascii="Arial" w:hAnsi="Arial" w:cs="Arial"/>
                <w:b/>
                <w:sz w:val="24"/>
                <w:szCs w:val="24"/>
              </w:rPr>
            </w:pPr>
            <w:r>
              <w:rPr>
                <w:rFonts w:ascii="Arial" w:hAnsi="Arial" w:cs="Arial"/>
                <w:b/>
                <w:sz w:val="24"/>
                <w:szCs w:val="24"/>
              </w:rPr>
              <w:t>Secondary</w:t>
            </w:r>
          </w:p>
        </w:tc>
      </w:tr>
      <w:tr w:rsidR="005A0028" w:rsidRPr="00B37D49" w14:paraId="49F03867" w14:textId="77777777" w:rsidTr="00461E16">
        <w:trPr>
          <w:trHeight w:val="397"/>
        </w:trPr>
        <w:tc>
          <w:tcPr>
            <w:tcW w:w="2268" w:type="dxa"/>
            <w:vAlign w:val="center"/>
          </w:tcPr>
          <w:p w14:paraId="10A2DC2E" w14:textId="2D402B87" w:rsidR="005A0028" w:rsidRPr="00B37D49" w:rsidRDefault="005A0028" w:rsidP="009660BA">
            <w:pPr>
              <w:pStyle w:val="ListParagraph"/>
              <w:ind w:left="0"/>
              <w:jc w:val="center"/>
              <w:rPr>
                <w:rFonts w:ascii="Arial" w:hAnsi="Arial" w:cs="Arial"/>
                <w:sz w:val="24"/>
                <w:szCs w:val="24"/>
              </w:rPr>
            </w:pPr>
            <w:r>
              <w:rPr>
                <w:rFonts w:ascii="Arial" w:hAnsi="Arial" w:cs="Arial"/>
                <w:sz w:val="24"/>
                <w:szCs w:val="24"/>
              </w:rPr>
              <w:t>£1,</w:t>
            </w:r>
            <w:r w:rsidR="00417EC2">
              <w:rPr>
                <w:rFonts w:ascii="Arial" w:hAnsi="Arial" w:cs="Arial"/>
                <w:sz w:val="24"/>
                <w:szCs w:val="24"/>
              </w:rPr>
              <w:t>216.47</w:t>
            </w:r>
          </w:p>
        </w:tc>
        <w:tc>
          <w:tcPr>
            <w:tcW w:w="2268" w:type="dxa"/>
            <w:vAlign w:val="center"/>
          </w:tcPr>
          <w:p w14:paraId="52E58370" w14:textId="4DF7F106" w:rsidR="005A0028" w:rsidRPr="00B37D49" w:rsidRDefault="005A0028" w:rsidP="009660BA">
            <w:pPr>
              <w:pStyle w:val="ListParagraph"/>
              <w:ind w:left="0"/>
              <w:jc w:val="center"/>
              <w:rPr>
                <w:rFonts w:ascii="Arial" w:hAnsi="Arial" w:cs="Arial"/>
                <w:sz w:val="24"/>
                <w:szCs w:val="24"/>
              </w:rPr>
            </w:pPr>
            <w:r>
              <w:rPr>
                <w:rFonts w:ascii="Arial" w:hAnsi="Arial" w:cs="Arial"/>
                <w:sz w:val="24"/>
                <w:szCs w:val="24"/>
              </w:rPr>
              <w:t>£</w:t>
            </w:r>
            <w:r w:rsidR="00417EC2">
              <w:rPr>
                <w:rFonts w:ascii="Arial" w:hAnsi="Arial" w:cs="Arial"/>
                <w:sz w:val="24"/>
                <w:szCs w:val="24"/>
              </w:rPr>
              <w:t>1,734.22</w:t>
            </w:r>
          </w:p>
        </w:tc>
      </w:tr>
    </w:tbl>
    <w:p w14:paraId="69E0FC23" w14:textId="77777777" w:rsidR="009660BA" w:rsidRDefault="009660BA" w:rsidP="009660BA">
      <w:pPr>
        <w:spacing w:after="0" w:line="240" w:lineRule="auto"/>
        <w:rPr>
          <w:rFonts w:ascii="Arial" w:hAnsi="Arial" w:cs="Arial"/>
          <w:sz w:val="24"/>
          <w:szCs w:val="24"/>
        </w:rPr>
      </w:pPr>
    </w:p>
    <w:p w14:paraId="7D599FD1" w14:textId="77777777" w:rsidR="00A04A79" w:rsidRDefault="00A04A79" w:rsidP="009660BA">
      <w:pPr>
        <w:spacing w:after="0" w:line="240" w:lineRule="auto"/>
        <w:rPr>
          <w:rFonts w:ascii="Arial" w:hAnsi="Arial" w:cs="Arial"/>
          <w:sz w:val="24"/>
          <w:szCs w:val="24"/>
        </w:rPr>
      </w:pPr>
    </w:p>
    <w:p w14:paraId="434C796D" w14:textId="77777777" w:rsidR="00A04A79" w:rsidRDefault="00A04A79" w:rsidP="009660BA">
      <w:pPr>
        <w:spacing w:after="0" w:line="240" w:lineRule="auto"/>
        <w:rPr>
          <w:rFonts w:ascii="Arial" w:hAnsi="Arial" w:cs="Arial"/>
          <w:sz w:val="24"/>
          <w:szCs w:val="24"/>
        </w:rPr>
      </w:pPr>
    </w:p>
    <w:p w14:paraId="5F229690" w14:textId="77777777" w:rsidR="00A04A79" w:rsidRDefault="00A04A79" w:rsidP="009660BA">
      <w:pPr>
        <w:spacing w:after="0" w:line="240" w:lineRule="auto"/>
        <w:rPr>
          <w:rFonts w:ascii="Arial" w:hAnsi="Arial" w:cs="Arial"/>
          <w:sz w:val="24"/>
          <w:szCs w:val="24"/>
        </w:rPr>
      </w:pPr>
    </w:p>
    <w:p w14:paraId="39161719" w14:textId="77777777" w:rsidR="00A04A79" w:rsidRDefault="00A04A79" w:rsidP="009660BA">
      <w:pPr>
        <w:spacing w:after="0" w:line="240" w:lineRule="auto"/>
        <w:rPr>
          <w:rFonts w:ascii="Arial" w:hAnsi="Arial" w:cs="Arial"/>
          <w:sz w:val="24"/>
          <w:szCs w:val="24"/>
        </w:rPr>
      </w:pPr>
    </w:p>
    <w:p w14:paraId="2F9F077B" w14:textId="77777777" w:rsidR="00A04A79" w:rsidRDefault="00A04A79" w:rsidP="009660BA">
      <w:pPr>
        <w:spacing w:after="0" w:line="240" w:lineRule="auto"/>
        <w:rPr>
          <w:rFonts w:ascii="Arial" w:hAnsi="Arial" w:cs="Arial"/>
          <w:sz w:val="24"/>
          <w:szCs w:val="24"/>
        </w:rPr>
      </w:pPr>
    </w:p>
    <w:p w14:paraId="1A6D0472" w14:textId="77777777" w:rsidR="00A04A79" w:rsidRDefault="00A04A79" w:rsidP="009660BA">
      <w:pPr>
        <w:spacing w:after="0" w:line="240" w:lineRule="auto"/>
        <w:rPr>
          <w:rFonts w:ascii="Arial" w:hAnsi="Arial" w:cs="Arial"/>
          <w:sz w:val="24"/>
          <w:szCs w:val="24"/>
        </w:rPr>
      </w:pPr>
    </w:p>
    <w:p w14:paraId="1C8CADD8" w14:textId="77777777" w:rsidR="00A04A79" w:rsidRDefault="00A04A79" w:rsidP="009660BA">
      <w:pPr>
        <w:spacing w:after="0" w:line="240" w:lineRule="auto"/>
        <w:rPr>
          <w:rFonts w:ascii="Arial" w:hAnsi="Arial" w:cs="Arial"/>
          <w:sz w:val="24"/>
          <w:szCs w:val="24"/>
        </w:rPr>
      </w:pPr>
    </w:p>
    <w:p w14:paraId="0725D65A" w14:textId="77777777" w:rsidR="00A04A79" w:rsidRDefault="00A04A79" w:rsidP="009660BA">
      <w:pPr>
        <w:spacing w:after="0" w:line="240" w:lineRule="auto"/>
        <w:rPr>
          <w:rFonts w:ascii="Arial" w:hAnsi="Arial" w:cs="Arial"/>
          <w:sz w:val="24"/>
          <w:szCs w:val="24"/>
        </w:rPr>
      </w:pPr>
    </w:p>
    <w:p w14:paraId="0E9A6671" w14:textId="77777777" w:rsidR="00A04A79" w:rsidRDefault="00A04A79" w:rsidP="009660BA">
      <w:pPr>
        <w:spacing w:after="0" w:line="240" w:lineRule="auto"/>
        <w:rPr>
          <w:rFonts w:ascii="Arial" w:hAnsi="Arial" w:cs="Arial"/>
          <w:sz w:val="24"/>
          <w:szCs w:val="24"/>
        </w:rPr>
      </w:pPr>
    </w:p>
    <w:p w14:paraId="4AC19508" w14:textId="7C732AC7" w:rsidR="00A04A79" w:rsidRPr="00A04A79" w:rsidRDefault="002038E3" w:rsidP="008C34B9">
      <w:pPr>
        <w:pStyle w:val="ListParagraph"/>
        <w:numPr>
          <w:ilvl w:val="0"/>
          <w:numId w:val="46"/>
        </w:numPr>
        <w:spacing w:after="0" w:line="240" w:lineRule="auto"/>
        <w:rPr>
          <w:rFonts w:ascii="Arial" w:hAnsi="Arial" w:cs="Arial"/>
          <w:sz w:val="24"/>
          <w:szCs w:val="24"/>
        </w:rPr>
      </w:pPr>
      <w:r w:rsidRPr="00A04A79">
        <w:rPr>
          <w:rFonts w:ascii="Arial" w:hAnsi="Arial" w:cs="Arial"/>
          <w:sz w:val="24"/>
          <w:szCs w:val="24"/>
        </w:rPr>
        <w:lastRenderedPageBreak/>
        <w:t>Income Deprivation Affecting Children Index (IDACI)</w:t>
      </w:r>
    </w:p>
    <w:p w14:paraId="77FD98E0" w14:textId="6D620FA7" w:rsidR="009660BA" w:rsidRPr="00A04A79" w:rsidRDefault="009660BA" w:rsidP="00A04A79">
      <w:pPr>
        <w:spacing w:after="0" w:line="240" w:lineRule="auto"/>
        <w:rPr>
          <w:rFonts w:ascii="Arial" w:hAnsi="Arial" w:cs="Arial"/>
          <w:sz w:val="24"/>
          <w:szCs w:val="24"/>
        </w:rPr>
      </w:pPr>
    </w:p>
    <w:p w14:paraId="3956BDDC" w14:textId="0DB33DD9" w:rsidR="00A65485" w:rsidRPr="009660BA" w:rsidRDefault="006C56FF" w:rsidP="009660BA">
      <w:pPr>
        <w:spacing w:after="0" w:line="240" w:lineRule="auto"/>
        <w:rPr>
          <w:rFonts w:ascii="Arial" w:hAnsi="Arial" w:cs="Arial"/>
          <w:sz w:val="24"/>
          <w:szCs w:val="24"/>
        </w:rPr>
      </w:pPr>
      <w:r w:rsidRPr="009660BA">
        <w:rPr>
          <w:rFonts w:ascii="Arial" w:hAnsi="Arial" w:cs="Arial"/>
          <w:sz w:val="24"/>
          <w:szCs w:val="24"/>
        </w:rPr>
        <w:t>IDACI funding is based on the IDACI 2019 area-based index measuring the relative deprivation of Lower-layer Super Output Areas (LSOAs</w:t>
      </w:r>
      <w:r w:rsidR="00A65EA2" w:rsidRPr="009660BA">
        <w:rPr>
          <w:rStyle w:val="FootnoteReference"/>
          <w:rFonts w:ascii="Arial" w:hAnsi="Arial" w:cs="Arial"/>
          <w:sz w:val="24"/>
          <w:szCs w:val="24"/>
        </w:rPr>
        <w:footnoteReference w:id="2"/>
      </w:r>
      <w:r w:rsidRPr="009660BA">
        <w:rPr>
          <w:rFonts w:ascii="Arial" w:hAnsi="Arial" w:cs="Arial"/>
          <w:sz w:val="24"/>
          <w:szCs w:val="24"/>
        </w:rPr>
        <w:t>). For the NFF, the IDACI ranks are divided into seven bands A to G, with A representing the most deprived areas and G the least deprived. Additional funding is targeted towards pupils in bands A-F, with more funding directed to pupils in the more deprived bands</w:t>
      </w:r>
      <w:r w:rsidR="00FE0ED5" w:rsidRPr="009660BA">
        <w:rPr>
          <w:rFonts w:ascii="Arial" w:hAnsi="Arial" w:cs="Arial"/>
          <w:sz w:val="24"/>
          <w:szCs w:val="24"/>
        </w:rPr>
        <w:t>.</w:t>
      </w:r>
      <w:r w:rsidR="00A65485" w:rsidRPr="009660BA">
        <w:rPr>
          <w:rFonts w:ascii="Arial" w:hAnsi="Arial" w:cs="Arial"/>
          <w:sz w:val="24"/>
          <w:szCs w:val="24"/>
        </w:rPr>
        <w:t xml:space="preserve"> For 202</w:t>
      </w:r>
      <w:r w:rsidR="00D056AD">
        <w:rPr>
          <w:rFonts w:ascii="Arial" w:hAnsi="Arial" w:cs="Arial"/>
          <w:sz w:val="24"/>
          <w:szCs w:val="24"/>
        </w:rPr>
        <w:t>6-</w:t>
      </w:r>
      <w:r w:rsidR="00A65485" w:rsidRPr="009660BA">
        <w:rPr>
          <w:rFonts w:ascii="Arial" w:hAnsi="Arial" w:cs="Arial"/>
          <w:sz w:val="24"/>
          <w:szCs w:val="24"/>
        </w:rPr>
        <w:t>2</w:t>
      </w:r>
      <w:r w:rsidR="00D056AD">
        <w:rPr>
          <w:rFonts w:ascii="Arial" w:hAnsi="Arial" w:cs="Arial"/>
          <w:sz w:val="24"/>
          <w:szCs w:val="24"/>
        </w:rPr>
        <w:t>7</w:t>
      </w:r>
      <w:r w:rsidR="00A65485" w:rsidRPr="009660BA">
        <w:rPr>
          <w:rFonts w:ascii="Arial" w:hAnsi="Arial" w:cs="Arial"/>
          <w:sz w:val="24"/>
          <w:szCs w:val="24"/>
        </w:rPr>
        <w:t>, the IDACI 2019 data is matched to the Autumn 202</w:t>
      </w:r>
      <w:r w:rsidR="00D056AD">
        <w:rPr>
          <w:rFonts w:ascii="Arial" w:hAnsi="Arial" w:cs="Arial"/>
          <w:sz w:val="24"/>
          <w:szCs w:val="24"/>
        </w:rPr>
        <w:t>5</w:t>
      </w:r>
      <w:r w:rsidR="00A65485" w:rsidRPr="009660BA">
        <w:rPr>
          <w:rFonts w:ascii="Arial" w:hAnsi="Arial" w:cs="Arial"/>
          <w:sz w:val="24"/>
          <w:szCs w:val="24"/>
        </w:rPr>
        <w:t xml:space="preserve"> census</w:t>
      </w:r>
      <w:r w:rsidR="004570D6">
        <w:rPr>
          <w:rFonts w:ascii="Arial" w:hAnsi="Arial" w:cs="Arial"/>
          <w:sz w:val="24"/>
          <w:szCs w:val="24"/>
        </w:rPr>
        <w:t>.</w:t>
      </w:r>
    </w:p>
    <w:p w14:paraId="794FA04B" w14:textId="77777777" w:rsidR="00A718D3" w:rsidRDefault="00A718D3" w:rsidP="009660BA">
      <w:pPr>
        <w:pStyle w:val="Default"/>
        <w:rPr>
          <w:szCs w:val="23"/>
        </w:rPr>
      </w:pPr>
    </w:p>
    <w:tbl>
      <w:tblPr>
        <w:tblStyle w:val="TableGrid"/>
        <w:tblW w:w="0" w:type="auto"/>
        <w:tblInd w:w="-5" w:type="dxa"/>
        <w:tblLook w:val="04A0" w:firstRow="1" w:lastRow="0" w:firstColumn="1" w:lastColumn="0" w:noHBand="0" w:noVBand="1"/>
      </w:tblPr>
      <w:tblGrid>
        <w:gridCol w:w="2268"/>
        <w:gridCol w:w="2268"/>
        <w:gridCol w:w="2268"/>
      </w:tblGrid>
      <w:tr w:rsidR="00FF5AB4" w:rsidRPr="00B13D30" w14:paraId="66C4FA52" w14:textId="77777777" w:rsidTr="001A1B5E">
        <w:trPr>
          <w:trHeight w:val="397"/>
        </w:trPr>
        <w:tc>
          <w:tcPr>
            <w:tcW w:w="2268" w:type="dxa"/>
            <w:shd w:val="clear" w:color="auto" w:fill="D9D9D9" w:themeFill="background1" w:themeFillShade="D9"/>
            <w:vAlign w:val="center"/>
          </w:tcPr>
          <w:p w14:paraId="691DE3C6" w14:textId="49D6CABD" w:rsidR="00FF5AB4" w:rsidRPr="00FF5AB4" w:rsidRDefault="00FF5AB4" w:rsidP="009660BA">
            <w:pPr>
              <w:pStyle w:val="ListParagraph"/>
              <w:ind w:left="0"/>
              <w:jc w:val="center"/>
              <w:rPr>
                <w:rFonts w:ascii="Arial" w:hAnsi="Arial" w:cs="Arial"/>
                <w:b/>
                <w:bCs/>
                <w:sz w:val="24"/>
                <w:szCs w:val="24"/>
              </w:rPr>
            </w:pPr>
            <w:r w:rsidRPr="00FF5AB4">
              <w:rPr>
                <w:rFonts w:ascii="Arial" w:hAnsi="Arial" w:cs="Arial"/>
                <w:b/>
                <w:bCs/>
                <w:sz w:val="24"/>
                <w:szCs w:val="24"/>
              </w:rPr>
              <w:t>Deprivation Factor</w:t>
            </w:r>
          </w:p>
        </w:tc>
        <w:tc>
          <w:tcPr>
            <w:tcW w:w="2268" w:type="dxa"/>
            <w:shd w:val="clear" w:color="auto" w:fill="D9D9D9" w:themeFill="background1" w:themeFillShade="D9"/>
            <w:vAlign w:val="center"/>
          </w:tcPr>
          <w:p w14:paraId="3AB80AA2" w14:textId="0DF860F9" w:rsidR="00FF5AB4" w:rsidRPr="00FF5AB4" w:rsidRDefault="00FF5AB4" w:rsidP="009660BA">
            <w:pPr>
              <w:jc w:val="center"/>
              <w:rPr>
                <w:rFonts w:ascii="Arial" w:hAnsi="Arial" w:cs="Arial"/>
                <w:b/>
                <w:bCs/>
                <w:sz w:val="24"/>
                <w:szCs w:val="24"/>
              </w:rPr>
            </w:pPr>
            <w:r w:rsidRPr="00FF5AB4">
              <w:rPr>
                <w:rFonts w:ascii="Arial" w:hAnsi="Arial" w:cs="Arial"/>
                <w:b/>
                <w:bCs/>
                <w:sz w:val="24"/>
                <w:szCs w:val="24"/>
              </w:rPr>
              <w:t>Primary</w:t>
            </w:r>
          </w:p>
        </w:tc>
        <w:tc>
          <w:tcPr>
            <w:tcW w:w="2268" w:type="dxa"/>
            <w:shd w:val="clear" w:color="auto" w:fill="D9D9D9" w:themeFill="background1" w:themeFillShade="D9"/>
            <w:vAlign w:val="center"/>
          </w:tcPr>
          <w:p w14:paraId="417CAB50" w14:textId="7E4407F8" w:rsidR="00FF5AB4" w:rsidRPr="00FF5AB4" w:rsidRDefault="73121E27" w:rsidP="009660BA">
            <w:pPr>
              <w:jc w:val="center"/>
              <w:rPr>
                <w:rFonts w:ascii="Arial" w:hAnsi="Arial" w:cs="Arial"/>
                <w:b/>
                <w:bCs/>
                <w:sz w:val="24"/>
                <w:szCs w:val="24"/>
              </w:rPr>
            </w:pPr>
            <w:r w:rsidRPr="434B0208">
              <w:rPr>
                <w:rFonts w:ascii="Arial" w:hAnsi="Arial" w:cs="Arial"/>
                <w:b/>
                <w:bCs/>
                <w:sz w:val="24"/>
                <w:szCs w:val="24"/>
              </w:rPr>
              <w:t>Secondary</w:t>
            </w:r>
          </w:p>
        </w:tc>
      </w:tr>
      <w:tr w:rsidR="00B460E6" w:rsidRPr="00A47D09" w14:paraId="62AA636B" w14:textId="27652CE5" w:rsidTr="001A1B5E">
        <w:trPr>
          <w:trHeight w:val="397"/>
        </w:trPr>
        <w:tc>
          <w:tcPr>
            <w:tcW w:w="2268" w:type="dxa"/>
            <w:vAlign w:val="center"/>
          </w:tcPr>
          <w:p w14:paraId="62B20659" w14:textId="77777777" w:rsidR="00B460E6" w:rsidRPr="00A47D09" w:rsidRDefault="00B460E6" w:rsidP="00701628">
            <w:pPr>
              <w:pStyle w:val="ListParagraph"/>
              <w:ind w:left="0"/>
              <w:rPr>
                <w:rFonts w:ascii="Arial" w:hAnsi="Arial" w:cs="Arial"/>
                <w:sz w:val="24"/>
                <w:szCs w:val="24"/>
              </w:rPr>
            </w:pPr>
            <w:r>
              <w:rPr>
                <w:rFonts w:ascii="Arial" w:hAnsi="Arial" w:cs="Arial"/>
                <w:sz w:val="24"/>
                <w:szCs w:val="24"/>
              </w:rPr>
              <w:t>(IDACI) Band F</w:t>
            </w:r>
          </w:p>
        </w:tc>
        <w:tc>
          <w:tcPr>
            <w:tcW w:w="2268" w:type="dxa"/>
            <w:vAlign w:val="center"/>
          </w:tcPr>
          <w:p w14:paraId="6F780529" w14:textId="759D7AF7" w:rsidR="00B460E6" w:rsidRPr="00A47D09" w:rsidRDefault="00B460E6" w:rsidP="009660BA">
            <w:pPr>
              <w:jc w:val="center"/>
              <w:rPr>
                <w:rFonts w:ascii="Arial" w:hAnsi="Arial" w:cs="Arial"/>
                <w:sz w:val="24"/>
                <w:szCs w:val="24"/>
              </w:rPr>
            </w:pPr>
            <w:r>
              <w:rPr>
                <w:rFonts w:ascii="Arial" w:hAnsi="Arial" w:cs="Arial"/>
                <w:sz w:val="24"/>
                <w:szCs w:val="24"/>
              </w:rPr>
              <w:t>£</w:t>
            </w:r>
            <w:r w:rsidR="00D056AD">
              <w:rPr>
                <w:rFonts w:ascii="Arial" w:hAnsi="Arial" w:cs="Arial"/>
                <w:sz w:val="24"/>
                <w:szCs w:val="24"/>
              </w:rPr>
              <w:t>241.28</w:t>
            </w:r>
          </w:p>
        </w:tc>
        <w:tc>
          <w:tcPr>
            <w:tcW w:w="2268" w:type="dxa"/>
            <w:vAlign w:val="center"/>
          </w:tcPr>
          <w:p w14:paraId="6A6AEA08" w14:textId="29814152" w:rsidR="00B460E6" w:rsidRPr="00A47D09" w:rsidRDefault="00D056AD" w:rsidP="009660BA">
            <w:pPr>
              <w:jc w:val="center"/>
              <w:rPr>
                <w:rFonts w:ascii="Arial" w:hAnsi="Arial" w:cs="Arial"/>
                <w:sz w:val="24"/>
                <w:szCs w:val="24"/>
              </w:rPr>
            </w:pPr>
            <w:r>
              <w:rPr>
                <w:rFonts w:ascii="Arial" w:hAnsi="Arial" w:cs="Arial"/>
                <w:sz w:val="24"/>
                <w:szCs w:val="24"/>
              </w:rPr>
              <w:t>£346.84</w:t>
            </w:r>
          </w:p>
        </w:tc>
      </w:tr>
      <w:tr w:rsidR="00B460E6" w14:paraId="5EA66610" w14:textId="46B0F539" w:rsidTr="001A1B5E">
        <w:trPr>
          <w:trHeight w:val="397"/>
        </w:trPr>
        <w:tc>
          <w:tcPr>
            <w:tcW w:w="2268" w:type="dxa"/>
            <w:tcBorders>
              <w:top w:val="single" w:sz="4" w:space="0" w:color="auto"/>
            </w:tcBorders>
            <w:vAlign w:val="center"/>
          </w:tcPr>
          <w:p w14:paraId="3DB4DD9B" w14:textId="77777777" w:rsidR="00B460E6" w:rsidRDefault="00B460E6" w:rsidP="00701628">
            <w:pPr>
              <w:pStyle w:val="ListParagraph"/>
              <w:ind w:left="0"/>
              <w:rPr>
                <w:rFonts w:ascii="Arial" w:hAnsi="Arial" w:cs="Arial"/>
                <w:sz w:val="24"/>
                <w:szCs w:val="24"/>
              </w:rPr>
            </w:pPr>
            <w:r>
              <w:rPr>
                <w:rFonts w:ascii="Arial" w:hAnsi="Arial" w:cs="Arial"/>
                <w:sz w:val="24"/>
                <w:szCs w:val="24"/>
              </w:rPr>
              <w:t>(IDACI) Band E</w:t>
            </w:r>
          </w:p>
        </w:tc>
        <w:tc>
          <w:tcPr>
            <w:tcW w:w="2268" w:type="dxa"/>
            <w:vAlign w:val="center"/>
          </w:tcPr>
          <w:p w14:paraId="0DBC761C" w14:textId="4C6EBA17" w:rsidR="00B460E6" w:rsidRDefault="00D056AD" w:rsidP="009660BA">
            <w:pPr>
              <w:jc w:val="center"/>
              <w:rPr>
                <w:rFonts w:ascii="Arial" w:hAnsi="Arial" w:cs="Arial"/>
                <w:sz w:val="24"/>
                <w:szCs w:val="24"/>
              </w:rPr>
            </w:pPr>
            <w:r>
              <w:rPr>
                <w:rFonts w:ascii="Arial" w:hAnsi="Arial" w:cs="Arial"/>
                <w:sz w:val="24"/>
                <w:szCs w:val="24"/>
              </w:rPr>
              <w:t>£291.55</w:t>
            </w:r>
          </w:p>
        </w:tc>
        <w:tc>
          <w:tcPr>
            <w:tcW w:w="2268" w:type="dxa"/>
            <w:vAlign w:val="center"/>
          </w:tcPr>
          <w:p w14:paraId="120BC0F4" w14:textId="3296BCE6" w:rsidR="00B460E6" w:rsidRDefault="00D056AD" w:rsidP="009660BA">
            <w:pPr>
              <w:jc w:val="center"/>
              <w:rPr>
                <w:rFonts w:ascii="Arial" w:hAnsi="Arial" w:cs="Arial"/>
                <w:sz w:val="24"/>
                <w:szCs w:val="24"/>
              </w:rPr>
            </w:pPr>
            <w:r>
              <w:rPr>
                <w:rFonts w:ascii="Arial" w:hAnsi="Arial" w:cs="Arial"/>
                <w:sz w:val="24"/>
                <w:szCs w:val="24"/>
              </w:rPr>
              <w:t>£462.46</w:t>
            </w:r>
          </w:p>
        </w:tc>
      </w:tr>
      <w:tr w:rsidR="00B460E6" w14:paraId="794DF6B2" w14:textId="7458768A" w:rsidTr="001A1B5E">
        <w:trPr>
          <w:trHeight w:val="397"/>
        </w:trPr>
        <w:tc>
          <w:tcPr>
            <w:tcW w:w="2268" w:type="dxa"/>
            <w:vAlign w:val="center"/>
          </w:tcPr>
          <w:p w14:paraId="30A65D17" w14:textId="77777777" w:rsidR="00B460E6" w:rsidRDefault="00B460E6" w:rsidP="00701628">
            <w:pPr>
              <w:pStyle w:val="ListParagraph"/>
              <w:ind w:left="0"/>
              <w:rPr>
                <w:rFonts w:ascii="Arial" w:hAnsi="Arial" w:cs="Arial"/>
                <w:sz w:val="24"/>
                <w:szCs w:val="24"/>
              </w:rPr>
            </w:pPr>
            <w:r>
              <w:rPr>
                <w:rFonts w:ascii="Arial" w:hAnsi="Arial" w:cs="Arial"/>
                <w:sz w:val="24"/>
                <w:szCs w:val="24"/>
              </w:rPr>
              <w:t>(IDACI) Band D</w:t>
            </w:r>
          </w:p>
        </w:tc>
        <w:tc>
          <w:tcPr>
            <w:tcW w:w="2268" w:type="dxa"/>
            <w:vAlign w:val="center"/>
          </w:tcPr>
          <w:p w14:paraId="00C889F1" w14:textId="43FB6913" w:rsidR="00B460E6" w:rsidRDefault="00D056AD" w:rsidP="009660BA">
            <w:pPr>
              <w:jc w:val="center"/>
              <w:rPr>
                <w:rFonts w:ascii="Arial" w:hAnsi="Arial" w:cs="Arial"/>
                <w:sz w:val="24"/>
                <w:szCs w:val="24"/>
              </w:rPr>
            </w:pPr>
            <w:r>
              <w:rPr>
                <w:rFonts w:ascii="Arial" w:hAnsi="Arial" w:cs="Arial"/>
                <w:sz w:val="24"/>
                <w:szCs w:val="24"/>
              </w:rPr>
              <w:t>£457.44</w:t>
            </w:r>
          </w:p>
        </w:tc>
        <w:tc>
          <w:tcPr>
            <w:tcW w:w="2268" w:type="dxa"/>
            <w:vAlign w:val="center"/>
          </w:tcPr>
          <w:p w14:paraId="28609521" w14:textId="08C8D5AF" w:rsidR="00B460E6" w:rsidRDefault="00D056AD" w:rsidP="009660BA">
            <w:pPr>
              <w:jc w:val="center"/>
              <w:rPr>
                <w:rFonts w:ascii="Arial" w:hAnsi="Arial" w:cs="Arial"/>
                <w:sz w:val="24"/>
                <w:szCs w:val="24"/>
              </w:rPr>
            </w:pPr>
            <w:r>
              <w:rPr>
                <w:rFonts w:ascii="Arial" w:hAnsi="Arial" w:cs="Arial"/>
                <w:sz w:val="24"/>
                <w:szCs w:val="24"/>
              </w:rPr>
              <w:t>£653.48</w:t>
            </w:r>
          </w:p>
        </w:tc>
      </w:tr>
      <w:tr w:rsidR="00B460E6" w14:paraId="3224C1B5" w14:textId="6B301B73" w:rsidTr="001A1B5E">
        <w:trPr>
          <w:trHeight w:val="397"/>
        </w:trPr>
        <w:tc>
          <w:tcPr>
            <w:tcW w:w="2268" w:type="dxa"/>
            <w:tcBorders>
              <w:bottom w:val="single" w:sz="4" w:space="0" w:color="auto"/>
            </w:tcBorders>
            <w:vAlign w:val="center"/>
          </w:tcPr>
          <w:p w14:paraId="3EFE0579" w14:textId="77777777" w:rsidR="00B460E6" w:rsidRDefault="00B460E6" w:rsidP="00701628">
            <w:pPr>
              <w:pStyle w:val="ListParagraph"/>
              <w:ind w:left="0"/>
              <w:rPr>
                <w:rFonts w:ascii="Arial" w:hAnsi="Arial" w:cs="Arial"/>
                <w:sz w:val="24"/>
                <w:szCs w:val="24"/>
              </w:rPr>
            </w:pPr>
            <w:r>
              <w:rPr>
                <w:rFonts w:ascii="Arial" w:hAnsi="Arial" w:cs="Arial"/>
                <w:sz w:val="24"/>
                <w:szCs w:val="24"/>
              </w:rPr>
              <w:t>(IDACI) Band C</w:t>
            </w:r>
          </w:p>
        </w:tc>
        <w:tc>
          <w:tcPr>
            <w:tcW w:w="2268" w:type="dxa"/>
            <w:vAlign w:val="center"/>
          </w:tcPr>
          <w:p w14:paraId="2F9A012A" w14:textId="3B084D8B" w:rsidR="00B460E6" w:rsidRDefault="00D056AD" w:rsidP="009660BA">
            <w:pPr>
              <w:jc w:val="center"/>
              <w:rPr>
                <w:rFonts w:ascii="Arial" w:hAnsi="Arial" w:cs="Arial"/>
                <w:sz w:val="24"/>
                <w:szCs w:val="24"/>
              </w:rPr>
            </w:pPr>
            <w:r>
              <w:rPr>
                <w:rFonts w:ascii="Arial" w:hAnsi="Arial" w:cs="Arial"/>
                <w:sz w:val="24"/>
                <w:szCs w:val="24"/>
              </w:rPr>
              <w:t>£502.67</w:t>
            </w:r>
          </w:p>
        </w:tc>
        <w:tc>
          <w:tcPr>
            <w:tcW w:w="2268" w:type="dxa"/>
            <w:vAlign w:val="center"/>
          </w:tcPr>
          <w:p w14:paraId="422B81CC" w14:textId="4E2343EC" w:rsidR="00B460E6" w:rsidRDefault="00D056AD" w:rsidP="009660BA">
            <w:pPr>
              <w:jc w:val="center"/>
              <w:rPr>
                <w:rFonts w:ascii="Arial" w:hAnsi="Arial" w:cs="Arial"/>
                <w:sz w:val="24"/>
                <w:szCs w:val="24"/>
              </w:rPr>
            </w:pPr>
            <w:r>
              <w:rPr>
                <w:rFonts w:ascii="Arial" w:hAnsi="Arial" w:cs="Arial"/>
                <w:sz w:val="24"/>
                <w:szCs w:val="24"/>
              </w:rPr>
              <w:t>£713.80</w:t>
            </w:r>
          </w:p>
        </w:tc>
      </w:tr>
      <w:tr w:rsidR="00B460E6" w14:paraId="676ABD3A" w14:textId="78140D46" w:rsidTr="001A1B5E">
        <w:trPr>
          <w:trHeight w:val="397"/>
        </w:trPr>
        <w:tc>
          <w:tcPr>
            <w:tcW w:w="2268" w:type="dxa"/>
            <w:vAlign w:val="center"/>
          </w:tcPr>
          <w:p w14:paraId="472812EC" w14:textId="77777777" w:rsidR="00B460E6" w:rsidRDefault="00B460E6" w:rsidP="00701628">
            <w:pPr>
              <w:pStyle w:val="ListParagraph"/>
              <w:ind w:left="0"/>
              <w:rPr>
                <w:rFonts w:ascii="Arial" w:hAnsi="Arial" w:cs="Arial"/>
                <w:sz w:val="24"/>
                <w:szCs w:val="24"/>
              </w:rPr>
            </w:pPr>
            <w:r>
              <w:rPr>
                <w:rFonts w:ascii="Arial" w:hAnsi="Arial" w:cs="Arial"/>
                <w:sz w:val="24"/>
                <w:szCs w:val="24"/>
              </w:rPr>
              <w:t>(IDACI) Band B</w:t>
            </w:r>
          </w:p>
        </w:tc>
        <w:tc>
          <w:tcPr>
            <w:tcW w:w="2268" w:type="dxa"/>
            <w:vAlign w:val="center"/>
          </w:tcPr>
          <w:p w14:paraId="344E36A2" w14:textId="7225C740" w:rsidR="00B460E6" w:rsidRDefault="00B460E6" w:rsidP="009660BA">
            <w:pPr>
              <w:jc w:val="center"/>
              <w:rPr>
                <w:rFonts w:ascii="Arial" w:hAnsi="Arial" w:cs="Arial"/>
                <w:sz w:val="24"/>
                <w:szCs w:val="24"/>
              </w:rPr>
            </w:pPr>
            <w:r>
              <w:rPr>
                <w:rFonts w:ascii="Arial" w:hAnsi="Arial" w:cs="Arial"/>
                <w:sz w:val="24"/>
                <w:szCs w:val="24"/>
              </w:rPr>
              <w:t>£5</w:t>
            </w:r>
            <w:r w:rsidR="004724F6">
              <w:rPr>
                <w:rFonts w:ascii="Arial" w:hAnsi="Arial" w:cs="Arial"/>
                <w:sz w:val="24"/>
                <w:szCs w:val="24"/>
              </w:rPr>
              <w:t>32.83</w:t>
            </w:r>
          </w:p>
        </w:tc>
        <w:tc>
          <w:tcPr>
            <w:tcW w:w="2268" w:type="dxa"/>
            <w:vAlign w:val="center"/>
          </w:tcPr>
          <w:p w14:paraId="3792B699" w14:textId="1C007C79" w:rsidR="00B460E6" w:rsidRDefault="00B460E6" w:rsidP="009660BA">
            <w:pPr>
              <w:jc w:val="center"/>
              <w:rPr>
                <w:rFonts w:ascii="Arial" w:hAnsi="Arial" w:cs="Arial"/>
                <w:sz w:val="24"/>
                <w:szCs w:val="24"/>
              </w:rPr>
            </w:pPr>
            <w:r>
              <w:rPr>
                <w:rFonts w:ascii="Arial" w:hAnsi="Arial" w:cs="Arial"/>
                <w:sz w:val="24"/>
                <w:szCs w:val="24"/>
              </w:rPr>
              <w:t>£7</w:t>
            </w:r>
            <w:r w:rsidR="004724F6">
              <w:rPr>
                <w:rFonts w:ascii="Arial" w:hAnsi="Arial" w:cs="Arial"/>
                <w:sz w:val="24"/>
                <w:szCs w:val="24"/>
              </w:rPr>
              <w:t>64</w:t>
            </w:r>
            <w:r>
              <w:rPr>
                <w:rFonts w:ascii="Arial" w:hAnsi="Arial" w:cs="Arial"/>
                <w:sz w:val="24"/>
                <w:szCs w:val="24"/>
              </w:rPr>
              <w:t>.</w:t>
            </w:r>
            <w:r w:rsidR="004724F6">
              <w:rPr>
                <w:rFonts w:ascii="Arial" w:hAnsi="Arial" w:cs="Arial"/>
                <w:sz w:val="24"/>
                <w:szCs w:val="24"/>
              </w:rPr>
              <w:t>06</w:t>
            </w:r>
          </w:p>
        </w:tc>
      </w:tr>
      <w:tr w:rsidR="00B460E6" w14:paraId="294912A3" w14:textId="24B66729" w:rsidTr="001A1B5E">
        <w:trPr>
          <w:trHeight w:val="397"/>
        </w:trPr>
        <w:tc>
          <w:tcPr>
            <w:tcW w:w="2268" w:type="dxa"/>
            <w:vAlign w:val="center"/>
          </w:tcPr>
          <w:p w14:paraId="04EA3D94" w14:textId="77777777" w:rsidR="00B460E6" w:rsidRDefault="00B460E6" w:rsidP="00701628">
            <w:pPr>
              <w:pStyle w:val="ListParagraph"/>
              <w:ind w:left="0"/>
              <w:rPr>
                <w:rFonts w:ascii="Arial" w:hAnsi="Arial" w:cs="Arial"/>
                <w:sz w:val="24"/>
                <w:szCs w:val="24"/>
              </w:rPr>
            </w:pPr>
            <w:r>
              <w:rPr>
                <w:rFonts w:ascii="Arial" w:hAnsi="Arial" w:cs="Arial"/>
                <w:sz w:val="24"/>
                <w:szCs w:val="24"/>
              </w:rPr>
              <w:t>(IDACI) Band A</w:t>
            </w:r>
          </w:p>
        </w:tc>
        <w:tc>
          <w:tcPr>
            <w:tcW w:w="2268" w:type="dxa"/>
            <w:vAlign w:val="center"/>
          </w:tcPr>
          <w:p w14:paraId="04A0585B" w14:textId="7B454BA6" w:rsidR="00B460E6" w:rsidRDefault="00B460E6" w:rsidP="009660BA">
            <w:pPr>
              <w:jc w:val="center"/>
              <w:rPr>
                <w:rFonts w:ascii="Arial" w:hAnsi="Arial" w:cs="Arial"/>
                <w:sz w:val="24"/>
                <w:szCs w:val="24"/>
              </w:rPr>
            </w:pPr>
            <w:r>
              <w:rPr>
                <w:rFonts w:ascii="Arial" w:hAnsi="Arial" w:cs="Arial"/>
                <w:sz w:val="24"/>
                <w:szCs w:val="24"/>
              </w:rPr>
              <w:t>£</w:t>
            </w:r>
            <w:r w:rsidR="004724F6">
              <w:rPr>
                <w:rFonts w:ascii="Arial" w:hAnsi="Arial" w:cs="Arial"/>
                <w:sz w:val="24"/>
                <w:szCs w:val="24"/>
              </w:rPr>
              <w:t>703.74</w:t>
            </w:r>
          </w:p>
        </w:tc>
        <w:tc>
          <w:tcPr>
            <w:tcW w:w="2268" w:type="dxa"/>
            <w:vAlign w:val="center"/>
          </w:tcPr>
          <w:p w14:paraId="166A40FA" w14:textId="01426130" w:rsidR="00B460E6" w:rsidRDefault="00B460E6" w:rsidP="009660BA">
            <w:pPr>
              <w:jc w:val="center"/>
              <w:rPr>
                <w:rFonts w:ascii="Arial" w:hAnsi="Arial" w:cs="Arial"/>
                <w:sz w:val="24"/>
                <w:szCs w:val="24"/>
              </w:rPr>
            </w:pPr>
            <w:r>
              <w:rPr>
                <w:rFonts w:ascii="Arial" w:hAnsi="Arial" w:cs="Arial"/>
                <w:sz w:val="24"/>
                <w:szCs w:val="24"/>
              </w:rPr>
              <w:t>£9</w:t>
            </w:r>
            <w:r w:rsidR="00BE166C">
              <w:rPr>
                <w:rFonts w:ascii="Arial" w:hAnsi="Arial" w:cs="Arial"/>
                <w:sz w:val="24"/>
                <w:szCs w:val="24"/>
              </w:rPr>
              <w:t>75.19</w:t>
            </w:r>
          </w:p>
        </w:tc>
      </w:tr>
    </w:tbl>
    <w:p w14:paraId="28D6D4FB" w14:textId="3C030052" w:rsidR="00072E07" w:rsidRPr="00A17EFC" w:rsidRDefault="00A111F4" w:rsidP="009660BA">
      <w:pPr>
        <w:spacing w:before="100" w:beforeAutospacing="1" w:after="100" w:afterAutospacing="1" w:line="240" w:lineRule="auto"/>
        <w:rPr>
          <w:rFonts w:ascii="Arial" w:hAnsi="Arial" w:cs="Arial"/>
          <w:b/>
          <w:bCs/>
          <w:sz w:val="24"/>
          <w:szCs w:val="24"/>
        </w:rPr>
      </w:pPr>
      <w:r w:rsidRPr="00A17EFC">
        <w:rPr>
          <w:rFonts w:ascii="Arial" w:hAnsi="Arial" w:cs="Arial"/>
          <w:b/>
          <w:bCs/>
          <w:sz w:val="24"/>
          <w:szCs w:val="24"/>
        </w:rPr>
        <w:t>Low Prior Attainment</w:t>
      </w:r>
    </w:p>
    <w:p w14:paraId="75BD5EB3" w14:textId="77777777" w:rsidR="00A111F4" w:rsidRDefault="00A111F4" w:rsidP="009660BA">
      <w:pPr>
        <w:spacing w:after="0" w:line="240" w:lineRule="auto"/>
        <w:rPr>
          <w:rFonts w:ascii="Arial" w:hAnsi="Arial" w:cs="Arial"/>
          <w:sz w:val="24"/>
          <w:szCs w:val="24"/>
        </w:rPr>
      </w:pPr>
      <w:r w:rsidRPr="00A111F4">
        <w:rPr>
          <w:rFonts w:ascii="Arial" w:hAnsi="Arial" w:cs="Arial"/>
          <w:sz w:val="24"/>
          <w:szCs w:val="24"/>
        </w:rPr>
        <w:t>Primary school pupils who have not achieved the expected level of development in the Early</w:t>
      </w:r>
    </w:p>
    <w:p w14:paraId="410D8041" w14:textId="61608AF8" w:rsidR="00A111F4" w:rsidRDefault="00A111F4" w:rsidP="009660BA">
      <w:pPr>
        <w:spacing w:after="0" w:line="240" w:lineRule="auto"/>
        <w:rPr>
          <w:rFonts w:ascii="Arial" w:hAnsi="Arial" w:cs="Arial"/>
          <w:sz w:val="24"/>
          <w:szCs w:val="24"/>
        </w:rPr>
      </w:pPr>
      <w:r w:rsidRPr="00A111F4">
        <w:rPr>
          <w:rFonts w:ascii="Arial" w:hAnsi="Arial" w:cs="Arial"/>
          <w:sz w:val="24"/>
          <w:szCs w:val="24"/>
        </w:rPr>
        <w:t xml:space="preserve">Years Foundation Stage Profile assessment (EYFSP) </w:t>
      </w:r>
      <w:r w:rsidR="00F3517A">
        <w:rPr>
          <w:rFonts w:ascii="Arial" w:hAnsi="Arial" w:cs="Arial"/>
          <w:sz w:val="24"/>
          <w:szCs w:val="24"/>
        </w:rPr>
        <w:t xml:space="preserve">tests </w:t>
      </w:r>
      <w:r w:rsidRPr="00A111F4">
        <w:rPr>
          <w:rFonts w:ascii="Arial" w:hAnsi="Arial" w:cs="Arial"/>
          <w:sz w:val="24"/>
          <w:szCs w:val="24"/>
        </w:rPr>
        <w:t xml:space="preserve">and secondary pupils who have not </w:t>
      </w:r>
      <w:r>
        <w:rPr>
          <w:rFonts w:ascii="Arial" w:hAnsi="Arial" w:cs="Arial"/>
          <w:sz w:val="24"/>
          <w:szCs w:val="24"/>
        </w:rPr>
        <w:t>a</w:t>
      </w:r>
      <w:r w:rsidRPr="00A111F4">
        <w:rPr>
          <w:rFonts w:ascii="Arial" w:hAnsi="Arial" w:cs="Arial"/>
          <w:sz w:val="24"/>
          <w:szCs w:val="24"/>
        </w:rPr>
        <w:t>chieved the expected standard in Key Stage 2 at either reading, writing or maths</w:t>
      </w:r>
      <w:r w:rsidR="004570D6">
        <w:rPr>
          <w:rFonts w:ascii="Arial" w:hAnsi="Arial" w:cs="Arial"/>
          <w:sz w:val="24"/>
          <w:szCs w:val="24"/>
        </w:rPr>
        <w:t>.</w:t>
      </w:r>
    </w:p>
    <w:p w14:paraId="719757D7" w14:textId="77777777" w:rsidR="000241D4" w:rsidRDefault="000241D4" w:rsidP="009660BA">
      <w:pPr>
        <w:spacing w:after="0" w:line="240" w:lineRule="auto"/>
        <w:rPr>
          <w:rFonts w:ascii="Arial" w:hAnsi="Arial" w:cs="Arial"/>
          <w:sz w:val="24"/>
          <w:szCs w:val="24"/>
        </w:rPr>
      </w:pPr>
    </w:p>
    <w:tbl>
      <w:tblPr>
        <w:tblStyle w:val="TableGrid"/>
        <w:tblW w:w="4536" w:type="dxa"/>
        <w:tblInd w:w="-5" w:type="dxa"/>
        <w:tblLayout w:type="fixed"/>
        <w:tblLook w:val="04A0" w:firstRow="1" w:lastRow="0" w:firstColumn="1" w:lastColumn="0" w:noHBand="0" w:noVBand="1"/>
      </w:tblPr>
      <w:tblGrid>
        <w:gridCol w:w="2268"/>
        <w:gridCol w:w="2268"/>
      </w:tblGrid>
      <w:tr w:rsidR="00896C5E" w:rsidRPr="0058465F" w14:paraId="79684BDF" w14:textId="77777777" w:rsidTr="001A1B5E">
        <w:trPr>
          <w:trHeight w:val="397"/>
          <w:tblHeader/>
        </w:trPr>
        <w:tc>
          <w:tcPr>
            <w:tcW w:w="2268" w:type="dxa"/>
            <w:tcBorders>
              <w:top w:val="single" w:sz="4" w:space="0" w:color="auto"/>
            </w:tcBorders>
            <w:shd w:val="clear" w:color="auto" w:fill="D9D9D9" w:themeFill="background1" w:themeFillShade="D9"/>
            <w:vAlign w:val="center"/>
          </w:tcPr>
          <w:p w14:paraId="25E6C804" w14:textId="77777777" w:rsidR="00896C5E" w:rsidRPr="00AA0224" w:rsidRDefault="00896C5E" w:rsidP="009660BA">
            <w:pPr>
              <w:pStyle w:val="ListParagraph"/>
              <w:ind w:left="0"/>
              <w:jc w:val="center"/>
              <w:rPr>
                <w:rFonts w:ascii="Arial" w:hAnsi="Arial" w:cs="Arial"/>
                <w:b/>
                <w:sz w:val="24"/>
                <w:szCs w:val="24"/>
              </w:rPr>
            </w:pPr>
            <w:r w:rsidRPr="00AA0224">
              <w:rPr>
                <w:rFonts w:ascii="Arial" w:hAnsi="Arial" w:cs="Arial"/>
                <w:b/>
                <w:sz w:val="24"/>
                <w:szCs w:val="24"/>
              </w:rPr>
              <w:t>Primary</w:t>
            </w:r>
          </w:p>
        </w:tc>
        <w:tc>
          <w:tcPr>
            <w:tcW w:w="2268" w:type="dxa"/>
            <w:tcBorders>
              <w:top w:val="single" w:sz="4" w:space="0" w:color="auto"/>
            </w:tcBorders>
            <w:shd w:val="clear" w:color="auto" w:fill="D9D9D9" w:themeFill="background1" w:themeFillShade="D9"/>
            <w:vAlign w:val="center"/>
          </w:tcPr>
          <w:p w14:paraId="219403EB" w14:textId="16511B88" w:rsidR="00896C5E" w:rsidRDefault="00527175" w:rsidP="009660BA">
            <w:pPr>
              <w:pStyle w:val="ListParagraph"/>
              <w:ind w:left="0"/>
              <w:jc w:val="center"/>
              <w:rPr>
                <w:rFonts w:ascii="Arial" w:hAnsi="Arial" w:cs="Arial"/>
                <w:b/>
                <w:sz w:val="24"/>
                <w:szCs w:val="24"/>
              </w:rPr>
            </w:pPr>
            <w:r>
              <w:rPr>
                <w:rFonts w:ascii="Arial" w:hAnsi="Arial" w:cs="Arial"/>
                <w:b/>
                <w:sz w:val="24"/>
                <w:szCs w:val="24"/>
              </w:rPr>
              <w:t>Secondary</w:t>
            </w:r>
          </w:p>
        </w:tc>
      </w:tr>
      <w:tr w:rsidR="00896C5E" w:rsidRPr="00B37D49" w14:paraId="3A237261" w14:textId="77777777" w:rsidTr="001A1B5E">
        <w:trPr>
          <w:trHeight w:val="397"/>
        </w:trPr>
        <w:tc>
          <w:tcPr>
            <w:tcW w:w="2268" w:type="dxa"/>
            <w:vAlign w:val="center"/>
          </w:tcPr>
          <w:p w14:paraId="31339CCE" w14:textId="4A96F020" w:rsidR="00896C5E" w:rsidRPr="00B37D49" w:rsidRDefault="00E5063C" w:rsidP="009660BA">
            <w:pPr>
              <w:pStyle w:val="ListParagraph"/>
              <w:ind w:left="0"/>
              <w:jc w:val="center"/>
              <w:rPr>
                <w:rFonts w:ascii="Arial" w:hAnsi="Arial" w:cs="Arial"/>
                <w:sz w:val="24"/>
                <w:szCs w:val="24"/>
              </w:rPr>
            </w:pPr>
            <w:r>
              <w:rPr>
                <w:rFonts w:ascii="Arial" w:hAnsi="Arial" w:cs="Arial"/>
                <w:sz w:val="24"/>
                <w:szCs w:val="24"/>
              </w:rPr>
              <w:t>£1,206.41</w:t>
            </w:r>
          </w:p>
        </w:tc>
        <w:tc>
          <w:tcPr>
            <w:tcW w:w="2268" w:type="dxa"/>
            <w:vAlign w:val="center"/>
          </w:tcPr>
          <w:p w14:paraId="241348CE" w14:textId="5368240E" w:rsidR="00896C5E" w:rsidRPr="00B37D49" w:rsidRDefault="00E5063C" w:rsidP="009660BA">
            <w:pPr>
              <w:pStyle w:val="ListParagraph"/>
              <w:ind w:left="0"/>
              <w:jc w:val="center"/>
              <w:rPr>
                <w:rFonts w:ascii="Arial" w:hAnsi="Arial" w:cs="Arial"/>
                <w:sz w:val="24"/>
                <w:szCs w:val="24"/>
              </w:rPr>
            </w:pPr>
            <w:r>
              <w:rPr>
                <w:rFonts w:ascii="Arial" w:hAnsi="Arial" w:cs="Arial"/>
                <w:sz w:val="24"/>
                <w:szCs w:val="24"/>
              </w:rPr>
              <w:t>£1,834.76</w:t>
            </w:r>
          </w:p>
        </w:tc>
      </w:tr>
    </w:tbl>
    <w:p w14:paraId="65BA054C" w14:textId="77777777" w:rsidR="00867663" w:rsidRPr="00C709AB" w:rsidRDefault="00867663" w:rsidP="009660BA">
      <w:pPr>
        <w:spacing w:after="0" w:line="240" w:lineRule="auto"/>
        <w:rPr>
          <w:rFonts w:ascii="Arial" w:hAnsi="Arial" w:cs="Arial"/>
          <w:sz w:val="24"/>
        </w:rPr>
      </w:pPr>
    </w:p>
    <w:p w14:paraId="114418C7" w14:textId="4E85924A" w:rsidR="00042AB3" w:rsidRPr="00A17EFC" w:rsidRDefault="00527175" w:rsidP="009660BA">
      <w:pPr>
        <w:spacing w:after="0" w:line="240" w:lineRule="auto"/>
        <w:rPr>
          <w:rFonts w:ascii="Arial" w:hAnsi="Arial" w:cs="Arial"/>
          <w:b/>
          <w:bCs/>
          <w:sz w:val="24"/>
          <w:szCs w:val="24"/>
        </w:rPr>
      </w:pPr>
      <w:r w:rsidRPr="00A17EFC">
        <w:rPr>
          <w:rFonts w:ascii="Arial" w:hAnsi="Arial" w:cs="Arial"/>
          <w:b/>
          <w:bCs/>
          <w:sz w:val="24"/>
          <w:szCs w:val="24"/>
        </w:rPr>
        <w:t xml:space="preserve">English as an </w:t>
      </w:r>
      <w:r w:rsidR="00BD53B9">
        <w:rPr>
          <w:rFonts w:ascii="Arial" w:hAnsi="Arial" w:cs="Arial"/>
          <w:b/>
          <w:bCs/>
          <w:sz w:val="24"/>
          <w:szCs w:val="24"/>
        </w:rPr>
        <w:t>A</w:t>
      </w:r>
      <w:r w:rsidRPr="00A17EFC">
        <w:rPr>
          <w:rFonts w:ascii="Arial" w:hAnsi="Arial" w:cs="Arial"/>
          <w:b/>
          <w:bCs/>
          <w:sz w:val="24"/>
          <w:szCs w:val="24"/>
        </w:rPr>
        <w:t xml:space="preserve">dditional </w:t>
      </w:r>
      <w:r w:rsidR="00BD53B9">
        <w:rPr>
          <w:rFonts w:ascii="Arial" w:hAnsi="Arial" w:cs="Arial"/>
          <w:b/>
          <w:bCs/>
          <w:sz w:val="24"/>
          <w:szCs w:val="24"/>
        </w:rPr>
        <w:t>L</w:t>
      </w:r>
      <w:r w:rsidRPr="00A17EFC">
        <w:rPr>
          <w:rFonts w:ascii="Arial" w:hAnsi="Arial" w:cs="Arial"/>
          <w:b/>
          <w:bCs/>
          <w:sz w:val="24"/>
          <w:szCs w:val="24"/>
        </w:rPr>
        <w:t>anguage</w:t>
      </w:r>
    </w:p>
    <w:p w14:paraId="23013023" w14:textId="77777777" w:rsidR="00527175" w:rsidRDefault="00527175" w:rsidP="009660BA">
      <w:pPr>
        <w:spacing w:after="0" w:line="240" w:lineRule="auto"/>
        <w:rPr>
          <w:rFonts w:ascii="Arial" w:hAnsi="Arial" w:cs="Arial"/>
          <w:b/>
          <w:bCs/>
          <w:sz w:val="24"/>
          <w:szCs w:val="24"/>
        </w:rPr>
      </w:pPr>
    </w:p>
    <w:p w14:paraId="4B2B0934" w14:textId="41260374" w:rsidR="00527175" w:rsidRDefault="00ED7F4D" w:rsidP="009660BA">
      <w:pPr>
        <w:spacing w:after="0" w:line="240" w:lineRule="auto"/>
        <w:rPr>
          <w:rFonts w:ascii="Arial" w:hAnsi="Arial" w:cs="Arial"/>
          <w:sz w:val="24"/>
          <w:szCs w:val="24"/>
        </w:rPr>
      </w:pPr>
      <w:r w:rsidRPr="00ED7F4D">
        <w:rPr>
          <w:rFonts w:ascii="Arial" w:hAnsi="Arial" w:cs="Arial"/>
          <w:sz w:val="24"/>
          <w:szCs w:val="24"/>
        </w:rPr>
        <w:t>The pupils eligible are those recorded as having entered state education in England during the last three years, and whose first language is not English</w:t>
      </w:r>
      <w:r w:rsidR="004570D6">
        <w:rPr>
          <w:rFonts w:ascii="Arial" w:hAnsi="Arial" w:cs="Arial"/>
          <w:sz w:val="24"/>
          <w:szCs w:val="24"/>
        </w:rPr>
        <w:t>.</w:t>
      </w:r>
    </w:p>
    <w:p w14:paraId="46E012F7" w14:textId="77777777" w:rsidR="00986DC1" w:rsidRDefault="00986DC1" w:rsidP="009660BA">
      <w:pPr>
        <w:spacing w:after="0" w:line="240" w:lineRule="auto"/>
        <w:rPr>
          <w:rFonts w:ascii="Arial" w:hAnsi="Arial" w:cs="Arial"/>
          <w:sz w:val="24"/>
          <w:szCs w:val="24"/>
        </w:rPr>
      </w:pPr>
    </w:p>
    <w:tbl>
      <w:tblPr>
        <w:tblStyle w:val="TableGrid"/>
        <w:tblW w:w="4536" w:type="dxa"/>
        <w:tblInd w:w="-5" w:type="dxa"/>
        <w:tblLayout w:type="fixed"/>
        <w:tblLook w:val="04A0" w:firstRow="1" w:lastRow="0" w:firstColumn="1" w:lastColumn="0" w:noHBand="0" w:noVBand="1"/>
      </w:tblPr>
      <w:tblGrid>
        <w:gridCol w:w="2268"/>
        <w:gridCol w:w="2268"/>
      </w:tblGrid>
      <w:tr w:rsidR="00986DC1" w:rsidRPr="0058465F" w14:paraId="25CA8AD7" w14:textId="77777777" w:rsidTr="001A1B5E">
        <w:trPr>
          <w:trHeight w:val="397"/>
          <w:tblHeader/>
        </w:trPr>
        <w:tc>
          <w:tcPr>
            <w:tcW w:w="2268" w:type="dxa"/>
            <w:tcBorders>
              <w:top w:val="single" w:sz="4" w:space="0" w:color="auto"/>
            </w:tcBorders>
            <w:shd w:val="clear" w:color="auto" w:fill="D9D9D9" w:themeFill="background1" w:themeFillShade="D9"/>
            <w:vAlign w:val="center"/>
          </w:tcPr>
          <w:p w14:paraId="5AD1128F" w14:textId="77777777" w:rsidR="00986DC1" w:rsidRPr="00AA0224" w:rsidRDefault="00986DC1" w:rsidP="009660BA">
            <w:pPr>
              <w:pStyle w:val="ListParagraph"/>
              <w:ind w:left="0"/>
              <w:jc w:val="center"/>
              <w:rPr>
                <w:rFonts w:ascii="Arial" w:hAnsi="Arial" w:cs="Arial"/>
                <w:b/>
                <w:sz w:val="24"/>
                <w:szCs w:val="24"/>
              </w:rPr>
            </w:pPr>
            <w:r w:rsidRPr="00AA0224">
              <w:rPr>
                <w:rFonts w:ascii="Arial" w:hAnsi="Arial" w:cs="Arial"/>
                <w:b/>
                <w:sz w:val="24"/>
                <w:szCs w:val="24"/>
              </w:rPr>
              <w:t>Primary</w:t>
            </w:r>
          </w:p>
        </w:tc>
        <w:tc>
          <w:tcPr>
            <w:tcW w:w="2268" w:type="dxa"/>
            <w:tcBorders>
              <w:top w:val="single" w:sz="4" w:space="0" w:color="auto"/>
            </w:tcBorders>
            <w:shd w:val="clear" w:color="auto" w:fill="D9D9D9" w:themeFill="background1" w:themeFillShade="D9"/>
            <w:vAlign w:val="center"/>
          </w:tcPr>
          <w:p w14:paraId="21C1E067" w14:textId="77777777" w:rsidR="00986DC1" w:rsidRDefault="00986DC1" w:rsidP="009660BA">
            <w:pPr>
              <w:pStyle w:val="ListParagraph"/>
              <w:ind w:left="0"/>
              <w:jc w:val="center"/>
              <w:rPr>
                <w:rFonts w:ascii="Arial" w:hAnsi="Arial" w:cs="Arial"/>
                <w:b/>
                <w:sz w:val="24"/>
                <w:szCs w:val="24"/>
              </w:rPr>
            </w:pPr>
            <w:r>
              <w:rPr>
                <w:rFonts w:ascii="Arial" w:hAnsi="Arial" w:cs="Arial"/>
                <w:b/>
                <w:sz w:val="24"/>
                <w:szCs w:val="24"/>
              </w:rPr>
              <w:t>Secondary</w:t>
            </w:r>
          </w:p>
        </w:tc>
      </w:tr>
      <w:tr w:rsidR="00986DC1" w:rsidRPr="00B37D49" w14:paraId="45BCE791" w14:textId="77777777" w:rsidTr="001A1B5E">
        <w:trPr>
          <w:trHeight w:val="397"/>
        </w:trPr>
        <w:tc>
          <w:tcPr>
            <w:tcW w:w="2268" w:type="dxa"/>
            <w:vAlign w:val="center"/>
          </w:tcPr>
          <w:p w14:paraId="663D0F27" w14:textId="7294EBED" w:rsidR="00986DC1" w:rsidRPr="00B37D49" w:rsidRDefault="00986DC1" w:rsidP="009660BA">
            <w:pPr>
              <w:pStyle w:val="ListParagraph"/>
              <w:ind w:left="0"/>
              <w:jc w:val="center"/>
              <w:rPr>
                <w:rFonts w:ascii="Arial" w:hAnsi="Arial" w:cs="Arial"/>
                <w:sz w:val="24"/>
                <w:szCs w:val="24"/>
              </w:rPr>
            </w:pPr>
            <w:r>
              <w:rPr>
                <w:rFonts w:ascii="Arial" w:hAnsi="Arial" w:cs="Arial"/>
                <w:sz w:val="24"/>
                <w:szCs w:val="24"/>
              </w:rPr>
              <w:t>£</w:t>
            </w:r>
            <w:r w:rsidR="00EE18DF">
              <w:rPr>
                <w:rFonts w:ascii="Arial" w:hAnsi="Arial" w:cs="Arial"/>
                <w:sz w:val="24"/>
                <w:szCs w:val="24"/>
              </w:rPr>
              <w:t>613.26</w:t>
            </w:r>
          </w:p>
        </w:tc>
        <w:tc>
          <w:tcPr>
            <w:tcW w:w="2268" w:type="dxa"/>
            <w:vAlign w:val="center"/>
          </w:tcPr>
          <w:p w14:paraId="4F7B3C16" w14:textId="5EDAADD3" w:rsidR="00986DC1" w:rsidRPr="00B37D49" w:rsidRDefault="00EE18DF" w:rsidP="009660BA">
            <w:pPr>
              <w:pStyle w:val="ListParagraph"/>
              <w:ind w:left="0"/>
              <w:jc w:val="center"/>
              <w:rPr>
                <w:rFonts w:ascii="Arial" w:hAnsi="Arial" w:cs="Arial"/>
                <w:sz w:val="24"/>
                <w:szCs w:val="24"/>
              </w:rPr>
            </w:pPr>
            <w:r>
              <w:rPr>
                <w:rFonts w:ascii="Arial" w:hAnsi="Arial" w:cs="Arial"/>
                <w:sz w:val="24"/>
                <w:szCs w:val="24"/>
              </w:rPr>
              <w:t>£1,638.72</w:t>
            </w:r>
          </w:p>
        </w:tc>
      </w:tr>
    </w:tbl>
    <w:p w14:paraId="266DF6DF" w14:textId="77777777" w:rsidR="009660BA" w:rsidRDefault="009660BA" w:rsidP="008F256E">
      <w:pPr>
        <w:spacing w:after="0" w:line="240" w:lineRule="auto"/>
        <w:rPr>
          <w:rFonts w:ascii="Arial" w:hAnsi="Arial" w:cs="Arial"/>
          <w:b/>
          <w:bCs/>
          <w:sz w:val="24"/>
          <w:szCs w:val="24"/>
        </w:rPr>
      </w:pPr>
    </w:p>
    <w:p w14:paraId="2F473BE2" w14:textId="63A48088" w:rsidR="00986DC1" w:rsidRPr="00A17EFC" w:rsidRDefault="005842A3" w:rsidP="009660BA">
      <w:pPr>
        <w:spacing w:after="0" w:line="240" w:lineRule="auto"/>
        <w:rPr>
          <w:rFonts w:ascii="Arial" w:hAnsi="Arial" w:cs="Arial"/>
          <w:b/>
          <w:bCs/>
          <w:sz w:val="24"/>
          <w:szCs w:val="24"/>
        </w:rPr>
      </w:pPr>
      <w:r w:rsidRPr="00A17EFC">
        <w:rPr>
          <w:rFonts w:ascii="Arial" w:hAnsi="Arial" w:cs="Arial"/>
          <w:b/>
          <w:bCs/>
          <w:sz w:val="24"/>
          <w:szCs w:val="24"/>
        </w:rPr>
        <w:t>Mobility</w:t>
      </w:r>
    </w:p>
    <w:p w14:paraId="2C0610C8" w14:textId="77777777" w:rsidR="005842A3" w:rsidRDefault="005842A3" w:rsidP="009660BA">
      <w:pPr>
        <w:spacing w:after="0" w:line="240" w:lineRule="auto"/>
        <w:rPr>
          <w:rFonts w:ascii="Arial" w:hAnsi="Arial" w:cs="Arial"/>
          <w:sz w:val="24"/>
          <w:szCs w:val="24"/>
        </w:rPr>
      </w:pPr>
    </w:p>
    <w:p w14:paraId="092E9AC9" w14:textId="6A5F52AD" w:rsidR="005842A3" w:rsidRDefault="00687610" w:rsidP="009660BA">
      <w:pPr>
        <w:spacing w:after="0" w:line="240" w:lineRule="auto"/>
        <w:rPr>
          <w:rFonts w:ascii="Arial" w:hAnsi="Arial" w:cs="Arial"/>
          <w:sz w:val="24"/>
          <w:szCs w:val="24"/>
        </w:rPr>
      </w:pPr>
      <w:r w:rsidRPr="00687610">
        <w:rPr>
          <w:rFonts w:ascii="Arial" w:hAnsi="Arial" w:cs="Arial"/>
          <w:sz w:val="24"/>
          <w:szCs w:val="24"/>
        </w:rPr>
        <w:t>Pupils are classed as mobile if they joined the school at a ‘non typical’ date within the last three years</w:t>
      </w:r>
      <w:r w:rsidR="004570D6">
        <w:rPr>
          <w:rFonts w:ascii="Arial" w:hAnsi="Arial" w:cs="Arial"/>
          <w:sz w:val="24"/>
          <w:szCs w:val="24"/>
        </w:rPr>
        <w:t>.</w:t>
      </w:r>
    </w:p>
    <w:p w14:paraId="32EFE23A" w14:textId="77777777" w:rsidR="00687610" w:rsidRDefault="00687610" w:rsidP="009660BA">
      <w:pPr>
        <w:spacing w:after="0" w:line="240" w:lineRule="auto"/>
        <w:rPr>
          <w:rFonts w:ascii="Arial" w:hAnsi="Arial" w:cs="Arial"/>
          <w:sz w:val="24"/>
          <w:szCs w:val="24"/>
        </w:rPr>
      </w:pPr>
    </w:p>
    <w:tbl>
      <w:tblPr>
        <w:tblStyle w:val="TableGrid"/>
        <w:tblW w:w="4536" w:type="dxa"/>
        <w:tblInd w:w="-5" w:type="dxa"/>
        <w:tblLayout w:type="fixed"/>
        <w:tblLook w:val="04A0" w:firstRow="1" w:lastRow="0" w:firstColumn="1" w:lastColumn="0" w:noHBand="0" w:noVBand="1"/>
      </w:tblPr>
      <w:tblGrid>
        <w:gridCol w:w="2268"/>
        <w:gridCol w:w="2268"/>
      </w:tblGrid>
      <w:tr w:rsidR="00687610" w:rsidRPr="0058465F" w14:paraId="24D1572C" w14:textId="77777777" w:rsidTr="001A1B5E">
        <w:trPr>
          <w:trHeight w:val="397"/>
          <w:tblHeader/>
        </w:trPr>
        <w:tc>
          <w:tcPr>
            <w:tcW w:w="2268" w:type="dxa"/>
            <w:tcBorders>
              <w:top w:val="single" w:sz="4" w:space="0" w:color="auto"/>
            </w:tcBorders>
            <w:shd w:val="clear" w:color="auto" w:fill="D9D9D9" w:themeFill="background1" w:themeFillShade="D9"/>
            <w:vAlign w:val="center"/>
          </w:tcPr>
          <w:p w14:paraId="7BA3F1EF" w14:textId="77777777" w:rsidR="00687610" w:rsidRPr="00AA0224" w:rsidRDefault="00687610" w:rsidP="009660BA">
            <w:pPr>
              <w:pStyle w:val="ListParagraph"/>
              <w:ind w:left="0"/>
              <w:jc w:val="center"/>
              <w:rPr>
                <w:rFonts w:ascii="Arial" w:hAnsi="Arial" w:cs="Arial"/>
                <w:b/>
                <w:sz w:val="24"/>
                <w:szCs w:val="24"/>
              </w:rPr>
            </w:pPr>
            <w:r w:rsidRPr="00AA0224">
              <w:rPr>
                <w:rFonts w:ascii="Arial" w:hAnsi="Arial" w:cs="Arial"/>
                <w:b/>
                <w:sz w:val="24"/>
                <w:szCs w:val="24"/>
              </w:rPr>
              <w:t>Primary</w:t>
            </w:r>
          </w:p>
        </w:tc>
        <w:tc>
          <w:tcPr>
            <w:tcW w:w="2268" w:type="dxa"/>
            <w:tcBorders>
              <w:top w:val="single" w:sz="4" w:space="0" w:color="auto"/>
            </w:tcBorders>
            <w:shd w:val="clear" w:color="auto" w:fill="D9D9D9" w:themeFill="background1" w:themeFillShade="D9"/>
            <w:vAlign w:val="center"/>
          </w:tcPr>
          <w:p w14:paraId="5B855316" w14:textId="77777777" w:rsidR="00687610" w:rsidRDefault="00687610" w:rsidP="009660BA">
            <w:pPr>
              <w:pStyle w:val="ListParagraph"/>
              <w:ind w:left="0"/>
              <w:jc w:val="center"/>
              <w:rPr>
                <w:rFonts w:ascii="Arial" w:hAnsi="Arial" w:cs="Arial"/>
                <w:b/>
                <w:sz w:val="24"/>
                <w:szCs w:val="24"/>
              </w:rPr>
            </w:pPr>
            <w:r>
              <w:rPr>
                <w:rFonts w:ascii="Arial" w:hAnsi="Arial" w:cs="Arial"/>
                <w:b/>
                <w:sz w:val="24"/>
                <w:szCs w:val="24"/>
              </w:rPr>
              <w:t>Secondary</w:t>
            </w:r>
          </w:p>
        </w:tc>
      </w:tr>
      <w:tr w:rsidR="00687610" w:rsidRPr="00B37D49" w14:paraId="28FC5FBE" w14:textId="77777777" w:rsidTr="001A1B5E">
        <w:trPr>
          <w:trHeight w:val="397"/>
        </w:trPr>
        <w:tc>
          <w:tcPr>
            <w:tcW w:w="2268" w:type="dxa"/>
            <w:vAlign w:val="center"/>
          </w:tcPr>
          <w:p w14:paraId="0E0A0735" w14:textId="1FF05C20" w:rsidR="00687610" w:rsidRPr="00B37D49" w:rsidRDefault="00687610" w:rsidP="009660BA">
            <w:pPr>
              <w:pStyle w:val="ListParagraph"/>
              <w:ind w:left="0"/>
              <w:jc w:val="center"/>
              <w:rPr>
                <w:rFonts w:ascii="Arial" w:hAnsi="Arial" w:cs="Arial"/>
                <w:sz w:val="24"/>
                <w:szCs w:val="24"/>
              </w:rPr>
            </w:pPr>
            <w:r>
              <w:rPr>
                <w:rFonts w:ascii="Arial" w:hAnsi="Arial" w:cs="Arial"/>
                <w:sz w:val="24"/>
                <w:szCs w:val="24"/>
              </w:rPr>
              <w:t>£9</w:t>
            </w:r>
            <w:r w:rsidR="00EE18DF">
              <w:rPr>
                <w:rFonts w:ascii="Arial" w:hAnsi="Arial" w:cs="Arial"/>
                <w:sz w:val="24"/>
                <w:szCs w:val="24"/>
              </w:rPr>
              <w:t>90.26</w:t>
            </w:r>
          </w:p>
        </w:tc>
        <w:tc>
          <w:tcPr>
            <w:tcW w:w="2268" w:type="dxa"/>
            <w:vAlign w:val="center"/>
          </w:tcPr>
          <w:p w14:paraId="31C33606" w14:textId="2791C367" w:rsidR="00687610" w:rsidRPr="00B37D49" w:rsidRDefault="00EE18DF" w:rsidP="009660BA">
            <w:pPr>
              <w:pStyle w:val="ListParagraph"/>
              <w:ind w:left="0"/>
              <w:jc w:val="center"/>
              <w:rPr>
                <w:rFonts w:ascii="Arial" w:hAnsi="Arial" w:cs="Arial"/>
                <w:sz w:val="24"/>
                <w:szCs w:val="24"/>
              </w:rPr>
            </w:pPr>
            <w:r>
              <w:rPr>
                <w:rFonts w:ascii="Arial" w:hAnsi="Arial" w:cs="Arial"/>
                <w:sz w:val="24"/>
                <w:szCs w:val="24"/>
              </w:rPr>
              <w:t>£1,422.57</w:t>
            </w:r>
          </w:p>
        </w:tc>
      </w:tr>
    </w:tbl>
    <w:p w14:paraId="592A61E7" w14:textId="77777777" w:rsidR="00687610" w:rsidRPr="005842A3" w:rsidRDefault="00687610" w:rsidP="009660BA">
      <w:pPr>
        <w:spacing w:after="0" w:line="240" w:lineRule="auto"/>
        <w:rPr>
          <w:rFonts w:ascii="Arial" w:hAnsi="Arial" w:cs="Arial"/>
          <w:sz w:val="24"/>
          <w:szCs w:val="24"/>
        </w:rPr>
      </w:pPr>
    </w:p>
    <w:p w14:paraId="646B7C07" w14:textId="0D9E4E29" w:rsidR="00986DC1" w:rsidRPr="004E6AE4" w:rsidRDefault="00AD5534" w:rsidP="009660BA">
      <w:pPr>
        <w:spacing w:after="0" w:line="240" w:lineRule="auto"/>
        <w:rPr>
          <w:rFonts w:ascii="Arial" w:hAnsi="Arial" w:cs="Arial"/>
          <w:b/>
          <w:bCs/>
          <w:sz w:val="24"/>
          <w:szCs w:val="24"/>
          <w:u w:val="single"/>
        </w:rPr>
      </w:pPr>
      <w:r w:rsidRPr="434B0208">
        <w:rPr>
          <w:rFonts w:ascii="Arial" w:hAnsi="Arial" w:cs="Arial"/>
          <w:b/>
          <w:bCs/>
          <w:sz w:val="24"/>
          <w:szCs w:val="24"/>
          <w:u w:val="single"/>
        </w:rPr>
        <w:t>School Led Factors</w:t>
      </w:r>
    </w:p>
    <w:p w14:paraId="687F1E16" w14:textId="7DE6E7C5" w:rsidR="00A46C30" w:rsidRPr="00195442" w:rsidRDefault="00A17EFC" w:rsidP="009660BA">
      <w:pPr>
        <w:spacing w:after="0" w:line="240" w:lineRule="auto"/>
        <w:rPr>
          <w:rFonts w:ascii="Arial" w:hAnsi="Arial" w:cs="Arial"/>
          <w:b/>
          <w:bCs/>
          <w:sz w:val="24"/>
        </w:rPr>
      </w:pPr>
      <w:r w:rsidRPr="00195442">
        <w:rPr>
          <w:rFonts w:ascii="Arial" w:hAnsi="Arial" w:cs="Arial"/>
          <w:b/>
          <w:bCs/>
          <w:sz w:val="24"/>
        </w:rPr>
        <w:lastRenderedPageBreak/>
        <w:t>Lump Sum</w:t>
      </w:r>
    </w:p>
    <w:p w14:paraId="52A2EC7B" w14:textId="77777777" w:rsidR="00A17EFC" w:rsidRDefault="00A17EFC" w:rsidP="009660BA">
      <w:pPr>
        <w:spacing w:after="0" w:line="240" w:lineRule="auto"/>
        <w:rPr>
          <w:rFonts w:ascii="Arial" w:hAnsi="Arial" w:cs="Arial"/>
          <w:sz w:val="24"/>
        </w:rPr>
      </w:pPr>
    </w:p>
    <w:p w14:paraId="5791E325" w14:textId="7E8DB1B0" w:rsidR="00A17EFC" w:rsidRDefault="00195442" w:rsidP="009660BA">
      <w:pPr>
        <w:spacing w:after="0" w:line="240" w:lineRule="auto"/>
        <w:rPr>
          <w:rFonts w:ascii="Arial" w:hAnsi="Arial" w:cs="Arial"/>
          <w:sz w:val="24"/>
        </w:rPr>
      </w:pPr>
      <w:r>
        <w:rPr>
          <w:rFonts w:ascii="Arial" w:hAnsi="Arial" w:cs="Arial"/>
          <w:sz w:val="24"/>
        </w:rPr>
        <w:t xml:space="preserve">Each school will </w:t>
      </w:r>
      <w:r w:rsidR="003E5907">
        <w:rPr>
          <w:rFonts w:ascii="Arial" w:hAnsi="Arial" w:cs="Arial"/>
          <w:sz w:val="24"/>
        </w:rPr>
        <w:t>be allocated</w:t>
      </w:r>
      <w:r>
        <w:rPr>
          <w:rFonts w:ascii="Arial" w:hAnsi="Arial" w:cs="Arial"/>
          <w:sz w:val="24"/>
        </w:rPr>
        <w:t xml:space="preserve"> a lump </w:t>
      </w:r>
      <w:r w:rsidR="004570D6">
        <w:rPr>
          <w:rFonts w:ascii="Arial" w:hAnsi="Arial" w:cs="Arial"/>
          <w:sz w:val="24"/>
        </w:rPr>
        <w:t>sum.</w:t>
      </w:r>
    </w:p>
    <w:p w14:paraId="7E0608DC" w14:textId="77777777" w:rsidR="00195442" w:rsidRDefault="00195442" w:rsidP="009660BA">
      <w:pPr>
        <w:spacing w:after="0" w:line="240" w:lineRule="auto"/>
        <w:rPr>
          <w:rFonts w:ascii="Arial" w:hAnsi="Arial" w:cs="Arial"/>
          <w:sz w:val="24"/>
        </w:rPr>
      </w:pPr>
    </w:p>
    <w:tbl>
      <w:tblPr>
        <w:tblStyle w:val="TableGrid"/>
        <w:tblW w:w="4536" w:type="dxa"/>
        <w:tblInd w:w="-5" w:type="dxa"/>
        <w:tblLayout w:type="fixed"/>
        <w:tblLook w:val="04A0" w:firstRow="1" w:lastRow="0" w:firstColumn="1" w:lastColumn="0" w:noHBand="0" w:noVBand="1"/>
      </w:tblPr>
      <w:tblGrid>
        <w:gridCol w:w="2268"/>
        <w:gridCol w:w="2268"/>
      </w:tblGrid>
      <w:tr w:rsidR="00195442" w:rsidRPr="0058465F" w14:paraId="2BEA01A0" w14:textId="77777777" w:rsidTr="001A1B5E">
        <w:trPr>
          <w:trHeight w:val="397"/>
          <w:tblHeader/>
        </w:trPr>
        <w:tc>
          <w:tcPr>
            <w:tcW w:w="2268" w:type="dxa"/>
            <w:tcBorders>
              <w:top w:val="single" w:sz="4" w:space="0" w:color="auto"/>
            </w:tcBorders>
            <w:shd w:val="clear" w:color="auto" w:fill="D9D9D9" w:themeFill="background1" w:themeFillShade="D9"/>
            <w:vAlign w:val="center"/>
          </w:tcPr>
          <w:p w14:paraId="07D3202B" w14:textId="77777777" w:rsidR="00195442" w:rsidRPr="00AA0224" w:rsidRDefault="00195442" w:rsidP="009660BA">
            <w:pPr>
              <w:pStyle w:val="ListParagraph"/>
              <w:ind w:left="0"/>
              <w:jc w:val="center"/>
              <w:rPr>
                <w:rFonts w:ascii="Arial" w:hAnsi="Arial" w:cs="Arial"/>
                <w:b/>
                <w:sz w:val="24"/>
                <w:szCs w:val="24"/>
              </w:rPr>
            </w:pPr>
            <w:r w:rsidRPr="00AA0224">
              <w:rPr>
                <w:rFonts w:ascii="Arial" w:hAnsi="Arial" w:cs="Arial"/>
                <w:b/>
                <w:sz w:val="24"/>
                <w:szCs w:val="24"/>
              </w:rPr>
              <w:t>Primary</w:t>
            </w:r>
          </w:p>
        </w:tc>
        <w:tc>
          <w:tcPr>
            <w:tcW w:w="2268" w:type="dxa"/>
            <w:tcBorders>
              <w:top w:val="single" w:sz="4" w:space="0" w:color="auto"/>
            </w:tcBorders>
            <w:shd w:val="clear" w:color="auto" w:fill="D9D9D9" w:themeFill="background1" w:themeFillShade="D9"/>
            <w:vAlign w:val="center"/>
          </w:tcPr>
          <w:p w14:paraId="4985C52C" w14:textId="77777777" w:rsidR="00195442" w:rsidRDefault="00195442" w:rsidP="009660BA">
            <w:pPr>
              <w:pStyle w:val="ListParagraph"/>
              <w:ind w:left="0"/>
              <w:jc w:val="center"/>
              <w:rPr>
                <w:rFonts w:ascii="Arial" w:hAnsi="Arial" w:cs="Arial"/>
                <w:b/>
                <w:sz w:val="24"/>
                <w:szCs w:val="24"/>
              </w:rPr>
            </w:pPr>
            <w:r>
              <w:rPr>
                <w:rFonts w:ascii="Arial" w:hAnsi="Arial" w:cs="Arial"/>
                <w:b/>
                <w:sz w:val="24"/>
                <w:szCs w:val="24"/>
              </w:rPr>
              <w:t>Secondary</w:t>
            </w:r>
          </w:p>
        </w:tc>
      </w:tr>
      <w:tr w:rsidR="00195442" w:rsidRPr="00B37D49" w14:paraId="07181E7B" w14:textId="77777777" w:rsidTr="001A1B5E">
        <w:trPr>
          <w:trHeight w:val="397"/>
        </w:trPr>
        <w:tc>
          <w:tcPr>
            <w:tcW w:w="2268" w:type="dxa"/>
            <w:vAlign w:val="center"/>
          </w:tcPr>
          <w:p w14:paraId="4B4D2C65" w14:textId="4B984791" w:rsidR="00195442" w:rsidRPr="00B37D49" w:rsidRDefault="00195442" w:rsidP="009660BA">
            <w:pPr>
              <w:pStyle w:val="ListParagraph"/>
              <w:ind w:left="0"/>
              <w:jc w:val="center"/>
              <w:rPr>
                <w:rFonts w:ascii="Arial" w:hAnsi="Arial" w:cs="Arial"/>
                <w:sz w:val="24"/>
                <w:szCs w:val="24"/>
              </w:rPr>
            </w:pPr>
            <w:r>
              <w:rPr>
                <w:rFonts w:ascii="Arial" w:hAnsi="Arial" w:cs="Arial"/>
                <w:sz w:val="24"/>
                <w:szCs w:val="24"/>
              </w:rPr>
              <w:t>£</w:t>
            </w:r>
            <w:r w:rsidR="002B4701">
              <w:rPr>
                <w:rFonts w:ascii="Arial" w:hAnsi="Arial" w:cs="Arial"/>
                <w:sz w:val="24"/>
                <w:szCs w:val="24"/>
              </w:rPr>
              <w:t>153,516.08</w:t>
            </w:r>
          </w:p>
        </w:tc>
        <w:tc>
          <w:tcPr>
            <w:tcW w:w="2268" w:type="dxa"/>
            <w:vAlign w:val="center"/>
          </w:tcPr>
          <w:p w14:paraId="6AACED4A" w14:textId="144247AB" w:rsidR="00195442" w:rsidRPr="00B37D49" w:rsidRDefault="002B4701" w:rsidP="009660BA">
            <w:pPr>
              <w:pStyle w:val="ListParagraph"/>
              <w:ind w:left="0"/>
              <w:jc w:val="center"/>
              <w:rPr>
                <w:rFonts w:ascii="Arial" w:hAnsi="Arial" w:cs="Arial"/>
                <w:sz w:val="24"/>
                <w:szCs w:val="24"/>
              </w:rPr>
            </w:pPr>
            <w:r>
              <w:rPr>
                <w:rFonts w:ascii="Arial" w:hAnsi="Arial" w:cs="Arial"/>
                <w:sz w:val="24"/>
                <w:szCs w:val="24"/>
              </w:rPr>
              <w:t>£153</w:t>
            </w:r>
            <w:r w:rsidR="004B652C">
              <w:rPr>
                <w:rFonts w:ascii="Arial" w:hAnsi="Arial" w:cs="Arial"/>
                <w:sz w:val="24"/>
                <w:szCs w:val="24"/>
              </w:rPr>
              <w:t>,516.08</w:t>
            </w:r>
          </w:p>
        </w:tc>
      </w:tr>
    </w:tbl>
    <w:p w14:paraId="29E8D804" w14:textId="77777777" w:rsidR="00195442" w:rsidRDefault="00195442" w:rsidP="009660BA">
      <w:pPr>
        <w:spacing w:after="0" w:line="240" w:lineRule="auto"/>
        <w:rPr>
          <w:rFonts w:ascii="Arial" w:hAnsi="Arial" w:cs="Arial"/>
          <w:sz w:val="24"/>
        </w:rPr>
      </w:pPr>
    </w:p>
    <w:p w14:paraId="758FE2F8" w14:textId="496A8E65" w:rsidR="00A17EFC" w:rsidRPr="005A2C5B" w:rsidRDefault="005A2C5B" w:rsidP="009660BA">
      <w:pPr>
        <w:spacing w:after="0" w:line="240" w:lineRule="auto"/>
        <w:rPr>
          <w:rFonts w:ascii="Arial" w:hAnsi="Arial" w:cs="Arial"/>
          <w:b/>
          <w:bCs/>
          <w:sz w:val="24"/>
        </w:rPr>
      </w:pPr>
      <w:r w:rsidRPr="005A2C5B">
        <w:rPr>
          <w:rFonts w:ascii="Arial" w:hAnsi="Arial" w:cs="Arial"/>
          <w:b/>
          <w:bCs/>
          <w:sz w:val="24"/>
        </w:rPr>
        <w:t>Sparsity Funding</w:t>
      </w:r>
    </w:p>
    <w:p w14:paraId="112CAE4B" w14:textId="77777777" w:rsidR="00A17EFC" w:rsidRDefault="00A17EFC" w:rsidP="009660BA">
      <w:pPr>
        <w:spacing w:after="0" w:line="240" w:lineRule="auto"/>
        <w:rPr>
          <w:rFonts w:ascii="Arial" w:hAnsi="Arial" w:cs="Arial"/>
          <w:sz w:val="24"/>
        </w:rPr>
      </w:pPr>
    </w:p>
    <w:p w14:paraId="77B226D9" w14:textId="26D94C8D" w:rsidR="00A67E6A" w:rsidRDefault="00A67E6A" w:rsidP="009660BA">
      <w:pPr>
        <w:spacing w:after="0" w:line="240" w:lineRule="auto"/>
        <w:rPr>
          <w:rFonts w:ascii="Arial" w:hAnsi="Arial" w:cs="Arial"/>
          <w:sz w:val="24"/>
        </w:rPr>
      </w:pPr>
      <w:r w:rsidRPr="00A67E6A">
        <w:rPr>
          <w:rFonts w:ascii="Arial" w:hAnsi="Arial" w:cs="Arial"/>
          <w:sz w:val="24"/>
        </w:rPr>
        <w:t>The sparsity factor is to enable funding to be targeted at qualifying small, rural schools to ensure their continued financial viability</w:t>
      </w:r>
      <w:r>
        <w:rPr>
          <w:rFonts w:ascii="Arial" w:hAnsi="Arial" w:cs="Arial"/>
          <w:sz w:val="24"/>
        </w:rPr>
        <w:t>.</w:t>
      </w:r>
    </w:p>
    <w:p w14:paraId="671D356E" w14:textId="77777777" w:rsidR="009660BA" w:rsidRDefault="009660BA" w:rsidP="009660BA">
      <w:pPr>
        <w:spacing w:after="0" w:line="240" w:lineRule="auto"/>
        <w:rPr>
          <w:rFonts w:ascii="Arial" w:hAnsi="Arial" w:cs="Arial"/>
          <w:sz w:val="24"/>
        </w:rPr>
      </w:pPr>
    </w:p>
    <w:p w14:paraId="222E8053" w14:textId="207D9014" w:rsidR="00A67E6A" w:rsidRDefault="007756DF" w:rsidP="009660BA">
      <w:pPr>
        <w:spacing w:after="0" w:line="240" w:lineRule="auto"/>
        <w:rPr>
          <w:rFonts w:ascii="Arial" w:hAnsi="Arial" w:cs="Arial"/>
          <w:sz w:val="24"/>
        </w:rPr>
      </w:pPr>
      <w:r w:rsidRPr="007756DF">
        <w:rPr>
          <w:rFonts w:ascii="Arial" w:hAnsi="Arial" w:cs="Arial"/>
          <w:sz w:val="24"/>
        </w:rPr>
        <w:t>Eligibility for sparsity funding depends on the distance the pupils living closest to the school would have to travel to their next nearest school, and the average number of pupils per year group.</w:t>
      </w:r>
    </w:p>
    <w:p w14:paraId="34CF9E35" w14:textId="77777777" w:rsidR="00681F98" w:rsidRDefault="00681F98" w:rsidP="009660BA">
      <w:pPr>
        <w:spacing w:after="0" w:line="240" w:lineRule="auto"/>
        <w:rPr>
          <w:rFonts w:ascii="Arial" w:hAnsi="Arial" w:cs="Arial"/>
          <w:sz w:val="24"/>
        </w:rPr>
      </w:pPr>
      <w:r w:rsidRPr="00681F98">
        <w:rPr>
          <w:rFonts w:ascii="Arial" w:hAnsi="Arial" w:cs="Arial"/>
          <w:sz w:val="24"/>
        </w:rPr>
        <w:t xml:space="preserve">A school is eligible for sparsity funding if: </w:t>
      </w:r>
    </w:p>
    <w:p w14:paraId="7B343EC8" w14:textId="77777777" w:rsidR="009660BA" w:rsidRPr="00681F98" w:rsidRDefault="009660BA" w:rsidP="009660BA">
      <w:pPr>
        <w:spacing w:after="0" w:line="240" w:lineRule="auto"/>
        <w:rPr>
          <w:rFonts w:ascii="Arial" w:hAnsi="Arial" w:cs="Arial"/>
          <w:sz w:val="24"/>
        </w:rPr>
      </w:pPr>
    </w:p>
    <w:p w14:paraId="37EC064F" w14:textId="66A16F42" w:rsidR="00681F98" w:rsidRDefault="00681F98" w:rsidP="009660BA">
      <w:pPr>
        <w:pStyle w:val="ListParagraph"/>
        <w:numPr>
          <w:ilvl w:val="0"/>
          <w:numId w:val="46"/>
        </w:numPr>
        <w:spacing w:after="0" w:line="240" w:lineRule="auto"/>
        <w:rPr>
          <w:rFonts w:ascii="Arial" w:hAnsi="Arial" w:cs="Arial"/>
          <w:sz w:val="24"/>
        </w:rPr>
      </w:pPr>
      <w:r w:rsidRPr="00681F98">
        <w:rPr>
          <w:rFonts w:ascii="Arial" w:hAnsi="Arial" w:cs="Arial"/>
          <w:sz w:val="24"/>
        </w:rPr>
        <w:t xml:space="preserve">For all the pupils for whom it is the nearest “compatible” school, the average distance (as measured by road) from the pupils’ homes to the second nearest compatible school is above the relevant distance threshold. The main distance thresholds are 3 miles for secondary schools and 2 miles for </w:t>
      </w:r>
      <w:r w:rsidR="00194255">
        <w:rPr>
          <w:rFonts w:ascii="Arial" w:hAnsi="Arial" w:cs="Arial"/>
          <w:sz w:val="24"/>
        </w:rPr>
        <w:t>primary</w:t>
      </w:r>
      <w:r w:rsidRPr="00681F98">
        <w:rPr>
          <w:rFonts w:ascii="Arial" w:hAnsi="Arial" w:cs="Arial"/>
          <w:sz w:val="24"/>
        </w:rPr>
        <w:t xml:space="preserve">, with the distance threshold taper set at 20% below each threshold (2.4 miles at secondary, 1.6 miles for </w:t>
      </w:r>
      <w:r w:rsidR="00634C5E">
        <w:rPr>
          <w:rFonts w:ascii="Arial" w:hAnsi="Arial" w:cs="Arial"/>
          <w:sz w:val="24"/>
        </w:rPr>
        <w:t>primary</w:t>
      </w:r>
      <w:r w:rsidRPr="00681F98">
        <w:rPr>
          <w:rFonts w:ascii="Arial" w:hAnsi="Arial" w:cs="Arial"/>
          <w:sz w:val="24"/>
        </w:rPr>
        <w:t xml:space="preserve"> schools)</w:t>
      </w:r>
    </w:p>
    <w:p w14:paraId="0A09675A" w14:textId="77777777" w:rsidR="00681F98" w:rsidRPr="00681F98" w:rsidRDefault="00681F98" w:rsidP="009660BA">
      <w:pPr>
        <w:pStyle w:val="ListParagraph"/>
        <w:spacing w:after="0" w:line="240" w:lineRule="auto"/>
        <w:ind w:left="360"/>
        <w:rPr>
          <w:rFonts w:ascii="Arial" w:hAnsi="Arial" w:cs="Arial"/>
          <w:sz w:val="24"/>
        </w:rPr>
      </w:pPr>
    </w:p>
    <w:p w14:paraId="5C440916" w14:textId="7ADDC3C1" w:rsidR="00A67E6A" w:rsidRDefault="00681F98" w:rsidP="009660BA">
      <w:pPr>
        <w:pStyle w:val="ListParagraph"/>
        <w:numPr>
          <w:ilvl w:val="0"/>
          <w:numId w:val="46"/>
        </w:numPr>
        <w:spacing w:after="0" w:line="240" w:lineRule="auto"/>
        <w:rPr>
          <w:rFonts w:ascii="Arial" w:hAnsi="Arial" w:cs="Arial"/>
          <w:sz w:val="24"/>
        </w:rPr>
      </w:pPr>
      <w:r w:rsidRPr="00681F98">
        <w:rPr>
          <w:rFonts w:ascii="Arial" w:hAnsi="Arial" w:cs="Arial"/>
          <w:sz w:val="24"/>
        </w:rPr>
        <w:t>The average year group size is below the appropriate year group threshold. This threshold is 21.4 for primary schools</w:t>
      </w:r>
      <w:r w:rsidR="00EE52B2">
        <w:rPr>
          <w:rFonts w:ascii="Arial" w:hAnsi="Arial" w:cs="Arial"/>
          <w:sz w:val="24"/>
        </w:rPr>
        <w:t xml:space="preserve"> and</w:t>
      </w:r>
      <w:r w:rsidRPr="00681F98">
        <w:rPr>
          <w:rFonts w:ascii="Arial" w:hAnsi="Arial" w:cs="Arial"/>
          <w:sz w:val="24"/>
        </w:rPr>
        <w:t xml:space="preserve"> 120 for secondary schools</w:t>
      </w:r>
    </w:p>
    <w:p w14:paraId="5A5F7DC9" w14:textId="77777777" w:rsidR="00681F98" w:rsidRDefault="00681F98" w:rsidP="009660BA">
      <w:pPr>
        <w:pStyle w:val="ListParagraph"/>
        <w:spacing w:after="0" w:line="240" w:lineRule="auto"/>
        <w:rPr>
          <w:rFonts w:ascii="Arial" w:hAnsi="Arial" w:cs="Arial"/>
          <w:sz w:val="24"/>
        </w:rPr>
      </w:pPr>
    </w:p>
    <w:tbl>
      <w:tblPr>
        <w:tblStyle w:val="TableGrid"/>
        <w:tblW w:w="4536" w:type="dxa"/>
        <w:tblInd w:w="-5" w:type="dxa"/>
        <w:tblLayout w:type="fixed"/>
        <w:tblLook w:val="04A0" w:firstRow="1" w:lastRow="0" w:firstColumn="1" w:lastColumn="0" w:noHBand="0" w:noVBand="1"/>
      </w:tblPr>
      <w:tblGrid>
        <w:gridCol w:w="2268"/>
        <w:gridCol w:w="2268"/>
      </w:tblGrid>
      <w:tr w:rsidR="007422C5" w:rsidRPr="0058465F" w14:paraId="42F2EAFA" w14:textId="77777777" w:rsidTr="001A1B5E">
        <w:trPr>
          <w:trHeight w:val="397"/>
          <w:tblHeader/>
        </w:trPr>
        <w:tc>
          <w:tcPr>
            <w:tcW w:w="2268" w:type="dxa"/>
            <w:tcBorders>
              <w:top w:val="single" w:sz="4" w:space="0" w:color="auto"/>
            </w:tcBorders>
            <w:shd w:val="clear" w:color="auto" w:fill="D9D9D9" w:themeFill="background1" w:themeFillShade="D9"/>
            <w:vAlign w:val="center"/>
          </w:tcPr>
          <w:p w14:paraId="0D3E9482" w14:textId="45E6DE8A" w:rsidR="007422C5" w:rsidRPr="00AA0224" w:rsidRDefault="007422C5" w:rsidP="001A1B5E">
            <w:pPr>
              <w:pStyle w:val="ListParagraph"/>
              <w:ind w:left="0"/>
              <w:jc w:val="center"/>
              <w:rPr>
                <w:rFonts w:ascii="Arial" w:hAnsi="Arial" w:cs="Arial"/>
                <w:b/>
                <w:sz w:val="24"/>
                <w:szCs w:val="24"/>
              </w:rPr>
            </w:pPr>
            <w:r w:rsidRPr="00AA0224">
              <w:rPr>
                <w:rFonts w:ascii="Arial" w:hAnsi="Arial" w:cs="Arial"/>
                <w:b/>
                <w:sz w:val="24"/>
                <w:szCs w:val="24"/>
              </w:rPr>
              <w:t>Primary</w:t>
            </w:r>
            <w:r w:rsidR="00EE52B2">
              <w:rPr>
                <w:rFonts w:ascii="Arial" w:hAnsi="Arial" w:cs="Arial"/>
                <w:b/>
                <w:sz w:val="24"/>
                <w:szCs w:val="24"/>
              </w:rPr>
              <w:t xml:space="preserve"> (Maximum)</w:t>
            </w:r>
          </w:p>
        </w:tc>
        <w:tc>
          <w:tcPr>
            <w:tcW w:w="2268" w:type="dxa"/>
            <w:tcBorders>
              <w:top w:val="single" w:sz="4" w:space="0" w:color="auto"/>
            </w:tcBorders>
            <w:shd w:val="clear" w:color="auto" w:fill="D9D9D9" w:themeFill="background1" w:themeFillShade="D9"/>
            <w:vAlign w:val="center"/>
          </w:tcPr>
          <w:p w14:paraId="34D3F88C" w14:textId="28EBCBE2" w:rsidR="007422C5" w:rsidRDefault="26E43E12" w:rsidP="001A1B5E">
            <w:pPr>
              <w:pStyle w:val="ListParagraph"/>
              <w:ind w:left="0"/>
              <w:jc w:val="center"/>
              <w:rPr>
                <w:rFonts w:ascii="Arial" w:hAnsi="Arial" w:cs="Arial"/>
                <w:b/>
                <w:bCs/>
                <w:sz w:val="24"/>
                <w:szCs w:val="24"/>
              </w:rPr>
            </w:pPr>
            <w:r w:rsidRPr="434B0208">
              <w:rPr>
                <w:rFonts w:ascii="Arial" w:hAnsi="Arial" w:cs="Arial"/>
                <w:b/>
                <w:bCs/>
                <w:sz w:val="24"/>
                <w:szCs w:val="24"/>
              </w:rPr>
              <w:t>Secondary</w:t>
            </w:r>
            <w:r w:rsidR="00EE52B2" w:rsidRPr="434B0208">
              <w:rPr>
                <w:rFonts w:ascii="Arial" w:hAnsi="Arial" w:cs="Arial"/>
                <w:b/>
                <w:bCs/>
                <w:sz w:val="24"/>
                <w:szCs w:val="24"/>
              </w:rPr>
              <w:t xml:space="preserve"> (Maximum)</w:t>
            </w:r>
          </w:p>
        </w:tc>
      </w:tr>
      <w:tr w:rsidR="007422C5" w:rsidRPr="00B37D49" w14:paraId="1D857E96" w14:textId="77777777" w:rsidTr="001A1B5E">
        <w:trPr>
          <w:trHeight w:val="397"/>
        </w:trPr>
        <w:tc>
          <w:tcPr>
            <w:tcW w:w="2268" w:type="dxa"/>
            <w:vAlign w:val="center"/>
          </w:tcPr>
          <w:p w14:paraId="7C2D43AC" w14:textId="1CCB39F0" w:rsidR="007422C5" w:rsidRPr="00B37D49" w:rsidRDefault="00634C5E" w:rsidP="001A1B5E">
            <w:pPr>
              <w:pStyle w:val="ListParagraph"/>
              <w:ind w:left="0"/>
              <w:jc w:val="center"/>
              <w:rPr>
                <w:rFonts w:ascii="Arial" w:hAnsi="Arial" w:cs="Arial"/>
                <w:sz w:val="24"/>
                <w:szCs w:val="24"/>
              </w:rPr>
            </w:pPr>
            <w:r>
              <w:rPr>
                <w:rFonts w:ascii="Arial" w:hAnsi="Arial" w:cs="Arial"/>
                <w:sz w:val="24"/>
                <w:szCs w:val="24"/>
              </w:rPr>
              <w:t>£</w:t>
            </w:r>
            <w:r w:rsidR="00FE43BC">
              <w:rPr>
                <w:rFonts w:ascii="Arial" w:hAnsi="Arial" w:cs="Arial"/>
                <w:sz w:val="24"/>
                <w:szCs w:val="24"/>
              </w:rPr>
              <w:t>58,913.18</w:t>
            </w:r>
          </w:p>
        </w:tc>
        <w:tc>
          <w:tcPr>
            <w:tcW w:w="2268" w:type="dxa"/>
            <w:vAlign w:val="center"/>
          </w:tcPr>
          <w:p w14:paraId="6F8A08EE" w14:textId="142A539B" w:rsidR="007422C5" w:rsidRPr="00B37D49" w:rsidRDefault="00FE43BC" w:rsidP="001A1B5E">
            <w:pPr>
              <w:pStyle w:val="ListParagraph"/>
              <w:ind w:left="0"/>
              <w:jc w:val="center"/>
              <w:rPr>
                <w:rFonts w:ascii="Arial" w:hAnsi="Arial" w:cs="Arial"/>
                <w:sz w:val="24"/>
                <w:szCs w:val="24"/>
              </w:rPr>
            </w:pPr>
            <w:r>
              <w:rPr>
                <w:rFonts w:ascii="Arial" w:hAnsi="Arial" w:cs="Arial"/>
                <w:sz w:val="24"/>
                <w:szCs w:val="24"/>
              </w:rPr>
              <w:t>£85,655.34</w:t>
            </w:r>
          </w:p>
        </w:tc>
      </w:tr>
    </w:tbl>
    <w:p w14:paraId="14C96544" w14:textId="77777777" w:rsidR="007422C5" w:rsidRPr="00681F98" w:rsidRDefault="007422C5" w:rsidP="008F256E">
      <w:pPr>
        <w:pStyle w:val="ListParagraph"/>
        <w:spacing w:after="0" w:line="240" w:lineRule="auto"/>
        <w:rPr>
          <w:rFonts w:ascii="Arial" w:hAnsi="Arial" w:cs="Arial"/>
          <w:sz w:val="24"/>
        </w:rPr>
      </w:pPr>
    </w:p>
    <w:p w14:paraId="0476BDE4" w14:textId="4F8367B2" w:rsidR="00681F98" w:rsidRDefault="0028142D" w:rsidP="009660BA">
      <w:pPr>
        <w:spacing w:after="0" w:line="240" w:lineRule="auto"/>
        <w:rPr>
          <w:rFonts w:ascii="Arial" w:hAnsi="Arial" w:cs="Arial"/>
          <w:b/>
          <w:bCs/>
          <w:sz w:val="24"/>
        </w:rPr>
      </w:pPr>
      <w:r w:rsidRPr="00D94D02">
        <w:rPr>
          <w:rFonts w:ascii="Arial" w:hAnsi="Arial" w:cs="Arial"/>
          <w:b/>
          <w:bCs/>
          <w:sz w:val="24"/>
        </w:rPr>
        <w:t>Premises</w:t>
      </w:r>
    </w:p>
    <w:p w14:paraId="30DF8B7E" w14:textId="77777777" w:rsidR="00BD53B9" w:rsidRPr="00D94D02" w:rsidRDefault="00BD53B9" w:rsidP="009660BA">
      <w:pPr>
        <w:spacing w:after="0" w:line="240" w:lineRule="auto"/>
        <w:rPr>
          <w:rFonts w:ascii="Arial" w:hAnsi="Arial" w:cs="Arial"/>
          <w:b/>
          <w:bCs/>
          <w:sz w:val="24"/>
        </w:rPr>
      </w:pPr>
    </w:p>
    <w:p w14:paraId="20F2AF66" w14:textId="4C902685" w:rsidR="0028142D" w:rsidRDefault="00D94D02" w:rsidP="009660BA">
      <w:pPr>
        <w:spacing w:after="0" w:line="240" w:lineRule="auto"/>
        <w:rPr>
          <w:rFonts w:ascii="Arial" w:hAnsi="Arial" w:cs="Arial"/>
          <w:sz w:val="24"/>
        </w:rPr>
      </w:pPr>
      <w:r w:rsidRPr="00D94D02">
        <w:rPr>
          <w:rFonts w:ascii="Arial" w:hAnsi="Arial" w:cs="Arial"/>
          <w:sz w:val="24"/>
        </w:rPr>
        <w:t>The NFF allocates funding to reflect the costs associated with a school’s premises and overheads.</w:t>
      </w:r>
    </w:p>
    <w:p w14:paraId="7A0E9C6F" w14:textId="77777777" w:rsidR="008F256E" w:rsidRPr="00681F98" w:rsidRDefault="008F256E" w:rsidP="009660BA">
      <w:pPr>
        <w:spacing w:after="0" w:line="240" w:lineRule="auto"/>
        <w:rPr>
          <w:rFonts w:ascii="Arial" w:hAnsi="Arial" w:cs="Arial"/>
          <w:sz w:val="24"/>
        </w:rPr>
      </w:pPr>
    </w:p>
    <w:p w14:paraId="56A4CAB0" w14:textId="179684B2" w:rsidR="00D94D02" w:rsidRDefault="00D94D02" w:rsidP="009660BA">
      <w:pPr>
        <w:pStyle w:val="ListParagraph"/>
        <w:numPr>
          <w:ilvl w:val="0"/>
          <w:numId w:val="47"/>
        </w:numPr>
        <w:spacing w:after="0" w:line="240" w:lineRule="auto"/>
        <w:rPr>
          <w:rFonts w:ascii="Arial" w:hAnsi="Arial" w:cs="Arial"/>
          <w:sz w:val="24"/>
        </w:rPr>
      </w:pPr>
      <w:r w:rsidRPr="00D94D02">
        <w:rPr>
          <w:rFonts w:ascii="Arial" w:hAnsi="Arial" w:cs="Arial"/>
          <w:sz w:val="24"/>
        </w:rPr>
        <w:t>Rates</w:t>
      </w:r>
    </w:p>
    <w:p w14:paraId="6354A977" w14:textId="77777777" w:rsidR="00D94D02" w:rsidRDefault="00D94D02" w:rsidP="009660BA">
      <w:pPr>
        <w:spacing w:after="0" w:line="240" w:lineRule="auto"/>
        <w:rPr>
          <w:rFonts w:ascii="Arial" w:hAnsi="Arial" w:cs="Arial"/>
          <w:sz w:val="24"/>
        </w:rPr>
      </w:pPr>
    </w:p>
    <w:p w14:paraId="08F89DCF" w14:textId="366DEBFD" w:rsidR="00D94D02" w:rsidRDefault="007020CF" w:rsidP="434B0208">
      <w:pPr>
        <w:spacing w:after="0" w:line="240" w:lineRule="auto"/>
        <w:rPr>
          <w:rFonts w:ascii="Arial" w:hAnsi="Arial" w:cs="Arial"/>
          <w:sz w:val="24"/>
          <w:szCs w:val="24"/>
        </w:rPr>
      </w:pPr>
      <w:r w:rsidRPr="434B0208">
        <w:rPr>
          <w:rFonts w:ascii="Arial" w:hAnsi="Arial" w:cs="Arial"/>
          <w:sz w:val="24"/>
          <w:szCs w:val="24"/>
        </w:rPr>
        <w:t xml:space="preserve">Since </w:t>
      </w:r>
      <w:r w:rsidRPr="001A1B5E">
        <w:rPr>
          <w:rFonts w:ascii="Arial" w:hAnsi="Arial" w:cs="Arial"/>
          <w:sz w:val="24"/>
          <w:szCs w:val="24"/>
        </w:rPr>
        <w:t>2024</w:t>
      </w:r>
      <w:r w:rsidR="001A1B5E" w:rsidRPr="001A1B5E">
        <w:rPr>
          <w:rFonts w:ascii="Arial" w:hAnsi="Arial" w:cs="Arial"/>
          <w:sz w:val="24"/>
          <w:szCs w:val="24"/>
        </w:rPr>
        <w:t>/</w:t>
      </w:r>
      <w:r w:rsidRPr="001A1B5E">
        <w:rPr>
          <w:rFonts w:ascii="Arial" w:hAnsi="Arial" w:cs="Arial"/>
          <w:sz w:val="24"/>
          <w:szCs w:val="24"/>
        </w:rPr>
        <w:t>25,</w:t>
      </w:r>
      <w:r w:rsidRPr="434B0208">
        <w:rPr>
          <w:rFonts w:ascii="Arial" w:hAnsi="Arial" w:cs="Arial"/>
          <w:sz w:val="24"/>
          <w:szCs w:val="24"/>
        </w:rPr>
        <w:t xml:space="preserve"> the payment of business rates </w:t>
      </w:r>
      <w:r w:rsidR="00B31529" w:rsidRPr="434B0208">
        <w:rPr>
          <w:rFonts w:ascii="Arial" w:hAnsi="Arial" w:cs="Arial"/>
          <w:sz w:val="24"/>
          <w:szCs w:val="24"/>
        </w:rPr>
        <w:t>is</w:t>
      </w:r>
      <w:r w:rsidRPr="434B0208">
        <w:rPr>
          <w:rFonts w:ascii="Arial" w:hAnsi="Arial" w:cs="Arial"/>
          <w:sz w:val="24"/>
          <w:szCs w:val="24"/>
        </w:rPr>
        <w:t xml:space="preserve"> on the</w:t>
      </w:r>
      <w:r w:rsidR="00B31529" w:rsidRPr="434B0208">
        <w:rPr>
          <w:rFonts w:ascii="Arial" w:hAnsi="Arial" w:cs="Arial"/>
          <w:sz w:val="24"/>
          <w:szCs w:val="24"/>
        </w:rPr>
        <w:t xml:space="preserve"> new</w:t>
      </w:r>
      <w:r w:rsidRPr="434B0208">
        <w:rPr>
          <w:rFonts w:ascii="Arial" w:hAnsi="Arial" w:cs="Arial"/>
          <w:sz w:val="24"/>
          <w:szCs w:val="24"/>
        </w:rPr>
        <w:t xml:space="preserve"> central payment, with the Department</w:t>
      </w:r>
      <w:r w:rsidR="00CD35E6" w:rsidRPr="434B0208">
        <w:rPr>
          <w:rFonts w:ascii="Arial" w:hAnsi="Arial" w:cs="Arial"/>
          <w:sz w:val="24"/>
          <w:szCs w:val="24"/>
        </w:rPr>
        <w:t xml:space="preserve"> of Education</w:t>
      </w:r>
      <w:r w:rsidRPr="434B0208">
        <w:rPr>
          <w:rFonts w:ascii="Arial" w:hAnsi="Arial" w:cs="Arial"/>
          <w:sz w:val="24"/>
          <w:szCs w:val="24"/>
        </w:rPr>
        <w:t xml:space="preserve"> paying</w:t>
      </w:r>
      <w:r w:rsidR="00CD35E6" w:rsidRPr="434B0208">
        <w:rPr>
          <w:rFonts w:ascii="Arial" w:hAnsi="Arial" w:cs="Arial"/>
          <w:sz w:val="24"/>
          <w:szCs w:val="24"/>
        </w:rPr>
        <w:t xml:space="preserve"> </w:t>
      </w:r>
      <w:r w:rsidRPr="434B0208">
        <w:rPr>
          <w:rFonts w:ascii="Arial" w:hAnsi="Arial" w:cs="Arial"/>
          <w:sz w:val="24"/>
          <w:szCs w:val="24"/>
        </w:rPr>
        <w:t>rates directly to billing authorities on behalf of schools</w:t>
      </w:r>
      <w:r w:rsidR="008F44A2" w:rsidRPr="434B0208">
        <w:rPr>
          <w:rFonts w:ascii="Arial" w:hAnsi="Arial" w:cs="Arial"/>
          <w:sz w:val="24"/>
          <w:szCs w:val="24"/>
        </w:rPr>
        <w:t>.</w:t>
      </w:r>
    </w:p>
    <w:p w14:paraId="22F269D7" w14:textId="77777777" w:rsidR="00CD35E6" w:rsidRDefault="00CD35E6" w:rsidP="009660BA">
      <w:pPr>
        <w:spacing w:after="0" w:line="240" w:lineRule="auto"/>
        <w:rPr>
          <w:rFonts w:ascii="Arial" w:hAnsi="Arial" w:cs="Arial"/>
          <w:sz w:val="24"/>
        </w:rPr>
      </w:pPr>
    </w:p>
    <w:p w14:paraId="514B2711" w14:textId="77777777" w:rsidR="009660BA" w:rsidRDefault="00CD35E6" w:rsidP="434B0208">
      <w:pPr>
        <w:spacing w:after="0" w:line="240" w:lineRule="auto"/>
        <w:rPr>
          <w:rFonts w:ascii="Arial" w:hAnsi="Arial" w:cs="Arial"/>
          <w:sz w:val="24"/>
          <w:szCs w:val="24"/>
        </w:rPr>
      </w:pPr>
      <w:r w:rsidRPr="434B0208">
        <w:rPr>
          <w:rFonts w:ascii="Arial" w:hAnsi="Arial" w:cs="Arial"/>
          <w:sz w:val="24"/>
          <w:szCs w:val="24"/>
        </w:rPr>
        <w:t xml:space="preserve">On the budget sheet </w:t>
      </w:r>
      <w:r w:rsidR="007E6612" w:rsidRPr="434B0208">
        <w:rPr>
          <w:rFonts w:ascii="Arial" w:hAnsi="Arial" w:cs="Arial"/>
          <w:sz w:val="24"/>
          <w:szCs w:val="24"/>
        </w:rPr>
        <w:t>you will see an amount allocated for rates and then the same deducted</w:t>
      </w:r>
      <w:r w:rsidR="00316477" w:rsidRPr="434B0208">
        <w:rPr>
          <w:rFonts w:ascii="Arial" w:hAnsi="Arial" w:cs="Arial"/>
          <w:sz w:val="24"/>
          <w:szCs w:val="24"/>
        </w:rPr>
        <w:t>. This is for accounting purposes only.</w:t>
      </w:r>
    </w:p>
    <w:p w14:paraId="1035F49A" w14:textId="479BE736" w:rsidR="434B0208" w:rsidRDefault="434B0208" w:rsidP="434B0208">
      <w:pPr>
        <w:spacing w:after="0" w:line="240" w:lineRule="auto"/>
        <w:rPr>
          <w:rFonts w:ascii="Arial" w:hAnsi="Arial" w:cs="Arial"/>
          <w:sz w:val="24"/>
          <w:szCs w:val="24"/>
        </w:rPr>
      </w:pPr>
    </w:p>
    <w:p w14:paraId="194940A3" w14:textId="46DE17FD" w:rsidR="00BA4728" w:rsidRPr="009660BA" w:rsidRDefault="0029122E" w:rsidP="009660BA">
      <w:pPr>
        <w:pStyle w:val="ListParagraph"/>
        <w:numPr>
          <w:ilvl w:val="0"/>
          <w:numId w:val="47"/>
        </w:numPr>
        <w:spacing w:after="0" w:line="240" w:lineRule="auto"/>
        <w:rPr>
          <w:rFonts w:ascii="Arial" w:hAnsi="Arial" w:cs="Arial"/>
          <w:sz w:val="24"/>
        </w:rPr>
      </w:pPr>
      <w:r w:rsidRPr="009660BA">
        <w:rPr>
          <w:rFonts w:ascii="Arial" w:hAnsi="Arial" w:cs="Arial"/>
          <w:sz w:val="24"/>
        </w:rPr>
        <w:t>Split Sites</w:t>
      </w:r>
    </w:p>
    <w:p w14:paraId="17C002E6" w14:textId="77777777" w:rsidR="00934451" w:rsidRDefault="00934451" w:rsidP="009660BA">
      <w:pPr>
        <w:spacing w:after="0" w:line="240" w:lineRule="auto"/>
        <w:rPr>
          <w:rFonts w:ascii="Arial" w:hAnsi="Arial" w:cs="Arial"/>
          <w:sz w:val="24"/>
        </w:rPr>
      </w:pPr>
    </w:p>
    <w:p w14:paraId="1F2E92C2" w14:textId="42B3335D" w:rsidR="00934451" w:rsidRDefault="00EE1AAE" w:rsidP="434B0208">
      <w:pPr>
        <w:spacing w:after="0" w:line="240" w:lineRule="auto"/>
        <w:rPr>
          <w:rFonts w:ascii="Arial" w:hAnsi="Arial" w:cs="Arial"/>
          <w:sz w:val="24"/>
          <w:szCs w:val="24"/>
        </w:rPr>
      </w:pPr>
      <w:r w:rsidRPr="434B0208">
        <w:rPr>
          <w:rFonts w:ascii="Arial" w:hAnsi="Arial" w:cs="Arial"/>
          <w:sz w:val="24"/>
          <w:szCs w:val="24"/>
        </w:rPr>
        <w:t>The split sites factor targets extra funding to schools which operate across more than one site.</w:t>
      </w:r>
      <w:r w:rsidR="006D244F" w:rsidRPr="434B0208">
        <w:rPr>
          <w:rFonts w:ascii="Arial" w:hAnsi="Arial" w:cs="Arial"/>
          <w:sz w:val="24"/>
          <w:szCs w:val="24"/>
        </w:rPr>
        <w:t xml:space="preserve"> School</w:t>
      </w:r>
      <w:r w:rsidR="5FAE0E5A" w:rsidRPr="434B0208">
        <w:rPr>
          <w:rFonts w:ascii="Arial" w:hAnsi="Arial" w:cs="Arial"/>
          <w:sz w:val="24"/>
          <w:szCs w:val="24"/>
        </w:rPr>
        <w:t>s</w:t>
      </w:r>
      <w:r w:rsidR="006D244F" w:rsidRPr="434B0208">
        <w:rPr>
          <w:rFonts w:ascii="Arial" w:hAnsi="Arial" w:cs="Arial"/>
          <w:sz w:val="24"/>
          <w:szCs w:val="24"/>
        </w:rPr>
        <w:t xml:space="preserve"> will be allocated a lump sum</w:t>
      </w:r>
      <w:r w:rsidR="00884655" w:rsidRPr="434B0208">
        <w:rPr>
          <w:rFonts w:ascii="Arial" w:hAnsi="Arial" w:cs="Arial"/>
          <w:sz w:val="24"/>
          <w:szCs w:val="24"/>
        </w:rPr>
        <w:t xml:space="preserve"> for each of their additional eligible sites – up to a maximum of three sites. </w:t>
      </w:r>
      <w:r w:rsidR="00FA0B2A" w:rsidRPr="434B0208">
        <w:rPr>
          <w:rFonts w:ascii="Arial" w:hAnsi="Arial" w:cs="Arial"/>
          <w:sz w:val="24"/>
          <w:szCs w:val="24"/>
        </w:rPr>
        <w:t xml:space="preserve">On top of that, schools whose sites are separated by more than 100 meters receive distance funding. </w:t>
      </w:r>
    </w:p>
    <w:p w14:paraId="1918A955" w14:textId="77777777" w:rsidR="008B56C9" w:rsidRDefault="008B56C9" w:rsidP="009660BA">
      <w:pPr>
        <w:spacing w:after="0" w:line="240" w:lineRule="auto"/>
        <w:rPr>
          <w:rFonts w:ascii="Arial" w:hAnsi="Arial" w:cs="Arial"/>
          <w:sz w:val="24"/>
        </w:rPr>
      </w:pPr>
    </w:p>
    <w:tbl>
      <w:tblPr>
        <w:tblStyle w:val="TableGrid"/>
        <w:tblW w:w="4536" w:type="dxa"/>
        <w:tblInd w:w="-5" w:type="dxa"/>
        <w:tblLayout w:type="fixed"/>
        <w:tblLook w:val="04A0" w:firstRow="1" w:lastRow="0" w:firstColumn="1" w:lastColumn="0" w:noHBand="0" w:noVBand="1"/>
      </w:tblPr>
      <w:tblGrid>
        <w:gridCol w:w="2268"/>
        <w:gridCol w:w="2268"/>
      </w:tblGrid>
      <w:tr w:rsidR="008B56C9" w:rsidRPr="0058465F" w14:paraId="70B917B2" w14:textId="77777777" w:rsidTr="001A1B5E">
        <w:trPr>
          <w:trHeight w:val="397"/>
          <w:tblHeader/>
        </w:trPr>
        <w:tc>
          <w:tcPr>
            <w:tcW w:w="2268" w:type="dxa"/>
            <w:tcBorders>
              <w:top w:val="single" w:sz="4" w:space="0" w:color="auto"/>
            </w:tcBorders>
            <w:shd w:val="clear" w:color="auto" w:fill="D9D9D9" w:themeFill="background1" w:themeFillShade="D9"/>
            <w:vAlign w:val="center"/>
          </w:tcPr>
          <w:p w14:paraId="2A42FE2B" w14:textId="0C255313" w:rsidR="008B56C9" w:rsidRPr="00AA0224" w:rsidRDefault="008B56C9" w:rsidP="009660BA">
            <w:pPr>
              <w:pStyle w:val="ListParagraph"/>
              <w:ind w:left="0"/>
              <w:jc w:val="center"/>
              <w:rPr>
                <w:rFonts w:ascii="Arial" w:hAnsi="Arial" w:cs="Arial"/>
                <w:b/>
                <w:sz w:val="24"/>
                <w:szCs w:val="24"/>
              </w:rPr>
            </w:pPr>
            <w:r>
              <w:rPr>
                <w:rFonts w:ascii="Arial" w:hAnsi="Arial" w:cs="Arial"/>
                <w:b/>
                <w:sz w:val="24"/>
                <w:szCs w:val="24"/>
              </w:rPr>
              <w:t>Basic Eligibility</w:t>
            </w:r>
          </w:p>
        </w:tc>
        <w:tc>
          <w:tcPr>
            <w:tcW w:w="2268" w:type="dxa"/>
            <w:tcBorders>
              <w:top w:val="single" w:sz="4" w:space="0" w:color="auto"/>
            </w:tcBorders>
            <w:shd w:val="clear" w:color="auto" w:fill="D9D9D9" w:themeFill="background1" w:themeFillShade="D9"/>
            <w:vAlign w:val="center"/>
          </w:tcPr>
          <w:p w14:paraId="671D7908" w14:textId="739B2F6C" w:rsidR="008B56C9" w:rsidRDefault="008B56C9" w:rsidP="009660BA">
            <w:pPr>
              <w:pStyle w:val="ListParagraph"/>
              <w:ind w:left="0"/>
              <w:jc w:val="center"/>
              <w:rPr>
                <w:rFonts w:ascii="Arial" w:hAnsi="Arial" w:cs="Arial"/>
                <w:b/>
                <w:sz w:val="24"/>
                <w:szCs w:val="24"/>
              </w:rPr>
            </w:pPr>
            <w:r>
              <w:rPr>
                <w:rFonts w:ascii="Arial" w:hAnsi="Arial" w:cs="Arial"/>
                <w:b/>
                <w:sz w:val="24"/>
                <w:szCs w:val="24"/>
              </w:rPr>
              <w:t>Distance Funding</w:t>
            </w:r>
          </w:p>
        </w:tc>
      </w:tr>
      <w:tr w:rsidR="008B56C9" w:rsidRPr="00B37D49" w14:paraId="3DEF279D" w14:textId="77777777" w:rsidTr="001A1B5E">
        <w:trPr>
          <w:trHeight w:val="397"/>
        </w:trPr>
        <w:tc>
          <w:tcPr>
            <w:tcW w:w="2268" w:type="dxa"/>
            <w:vAlign w:val="center"/>
          </w:tcPr>
          <w:p w14:paraId="07CF082B" w14:textId="51A6FB29" w:rsidR="008B56C9" w:rsidRPr="00B37D49" w:rsidRDefault="00994E29" w:rsidP="009660BA">
            <w:pPr>
              <w:pStyle w:val="ListParagraph"/>
              <w:ind w:left="0"/>
              <w:jc w:val="center"/>
              <w:rPr>
                <w:rFonts w:ascii="Arial" w:hAnsi="Arial" w:cs="Arial"/>
                <w:sz w:val="24"/>
                <w:szCs w:val="24"/>
              </w:rPr>
            </w:pPr>
            <w:r>
              <w:rPr>
                <w:rFonts w:ascii="Arial" w:hAnsi="Arial" w:cs="Arial"/>
                <w:sz w:val="24"/>
                <w:szCs w:val="24"/>
              </w:rPr>
              <w:t>£55,427.98</w:t>
            </w:r>
          </w:p>
        </w:tc>
        <w:tc>
          <w:tcPr>
            <w:tcW w:w="2268" w:type="dxa"/>
            <w:vAlign w:val="center"/>
          </w:tcPr>
          <w:p w14:paraId="2C7920E1" w14:textId="5703E5CD" w:rsidR="008B56C9" w:rsidRPr="00B37D49" w:rsidRDefault="00994E29" w:rsidP="009660BA">
            <w:pPr>
              <w:pStyle w:val="ListParagraph"/>
              <w:ind w:left="0"/>
              <w:jc w:val="center"/>
              <w:rPr>
                <w:rFonts w:ascii="Arial" w:hAnsi="Arial" w:cs="Arial"/>
                <w:sz w:val="24"/>
                <w:szCs w:val="24"/>
              </w:rPr>
            </w:pPr>
            <w:r>
              <w:rPr>
                <w:rFonts w:ascii="Arial" w:hAnsi="Arial" w:cs="Arial"/>
                <w:sz w:val="24"/>
                <w:szCs w:val="24"/>
              </w:rPr>
              <w:t>£</w:t>
            </w:r>
            <w:r w:rsidR="000F3367">
              <w:rPr>
                <w:rFonts w:ascii="Arial" w:hAnsi="Arial" w:cs="Arial"/>
                <w:sz w:val="24"/>
                <w:szCs w:val="24"/>
              </w:rPr>
              <w:t>27,713.99</w:t>
            </w:r>
          </w:p>
        </w:tc>
      </w:tr>
    </w:tbl>
    <w:p w14:paraId="3504A22A" w14:textId="77777777" w:rsidR="00A461E7" w:rsidRDefault="00A461E7" w:rsidP="00A461E7">
      <w:pPr>
        <w:pStyle w:val="ListParagraph"/>
        <w:spacing w:after="0" w:line="240" w:lineRule="auto"/>
        <w:ind w:left="360"/>
        <w:rPr>
          <w:rFonts w:ascii="Arial" w:hAnsi="Arial" w:cs="Arial"/>
          <w:sz w:val="24"/>
        </w:rPr>
      </w:pPr>
    </w:p>
    <w:p w14:paraId="3D21F2D0" w14:textId="287F419B" w:rsidR="008B56C9" w:rsidRDefault="00DE2CC4" w:rsidP="009660BA">
      <w:pPr>
        <w:pStyle w:val="ListParagraph"/>
        <w:numPr>
          <w:ilvl w:val="0"/>
          <w:numId w:val="47"/>
        </w:numPr>
        <w:spacing w:after="0" w:line="240" w:lineRule="auto"/>
        <w:rPr>
          <w:rFonts w:ascii="Arial" w:hAnsi="Arial" w:cs="Arial"/>
          <w:sz w:val="24"/>
        </w:rPr>
      </w:pPr>
      <w:r>
        <w:rPr>
          <w:rFonts w:ascii="Arial" w:hAnsi="Arial" w:cs="Arial"/>
          <w:sz w:val="24"/>
        </w:rPr>
        <w:lastRenderedPageBreak/>
        <w:t>Exceptional Circumstances – Rents</w:t>
      </w:r>
    </w:p>
    <w:p w14:paraId="7ED95C84" w14:textId="77777777" w:rsidR="00DE2CC4" w:rsidRDefault="00DE2CC4" w:rsidP="009660BA">
      <w:pPr>
        <w:spacing w:after="0" w:line="240" w:lineRule="auto"/>
        <w:rPr>
          <w:rFonts w:ascii="Arial" w:hAnsi="Arial" w:cs="Arial"/>
          <w:sz w:val="24"/>
        </w:rPr>
      </w:pPr>
    </w:p>
    <w:p w14:paraId="41A85ECE" w14:textId="5823D2E5" w:rsidR="00624CE0" w:rsidRPr="00624CE0" w:rsidRDefault="00624CE0" w:rsidP="009660BA">
      <w:pPr>
        <w:spacing w:after="0" w:line="240" w:lineRule="auto"/>
        <w:rPr>
          <w:rFonts w:ascii="Arial" w:hAnsi="Arial" w:cs="Arial"/>
          <w:sz w:val="24"/>
        </w:rPr>
      </w:pPr>
      <w:r w:rsidRPr="00624CE0">
        <w:rPr>
          <w:rFonts w:ascii="Arial" w:hAnsi="Arial" w:cs="Arial"/>
          <w:sz w:val="24"/>
        </w:rPr>
        <w:t xml:space="preserve">Exceptional arrangements have been agreed by the DfE where certain premises circumstances result in costs beyond the control of the school. The additional cost must account for more than 1% of the school’s budget otherwise it </w:t>
      </w:r>
      <w:bookmarkStart w:id="2" w:name="_Int_zUgK3Yk9"/>
      <w:r w:rsidRPr="00624CE0">
        <w:rPr>
          <w:rFonts w:ascii="Arial" w:hAnsi="Arial" w:cs="Arial"/>
          <w:sz w:val="24"/>
        </w:rPr>
        <w:t>is considered to be</w:t>
      </w:r>
      <w:bookmarkEnd w:id="2"/>
      <w:r w:rsidRPr="00624CE0">
        <w:rPr>
          <w:rFonts w:ascii="Arial" w:hAnsi="Arial" w:cs="Arial"/>
          <w:sz w:val="24"/>
        </w:rPr>
        <w:t xml:space="preserve"> within a manageable range and not exceptional. Exceptional circumstances cannot apply to more than 5% of schools within the LA.</w:t>
      </w:r>
    </w:p>
    <w:p w14:paraId="4823313C" w14:textId="77777777" w:rsidR="00DB427F" w:rsidRDefault="00DB427F" w:rsidP="009660BA">
      <w:pPr>
        <w:pStyle w:val="Heading1"/>
        <w:numPr>
          <w:ilvl w:val="0"/>
          <w:numId w:val="15"/>
        </w:numPr>
        <w:spacing w:line="240" w:lineRule="auto"/>
        <w:rPr>
          <w:rFonts w:ascii="Arial" w:hAnsi="Arial" w:cs="Arial"/>
          <w:color w:val="1F497D" w:themeColor="text2"/>
        </w:rPr>
      </w:pPr>
      <w:bookmarkStart w:id="3" w:name="_Toc222471251"/>
      <w:r w:rsidRPr="3B954121">
        <w:rPr>
          <w:rFonts w:ascii="Arial" w:hAnsi="Arial" w:cs="Arial"/>
          <w:color w:val="1F497D" w:themeColor="text2"/>
        </w:rPr>
        <w:t xml:space="preserve">Area Cost </w:t>
      </w:r>
      <w:r w:rsidR="00826B8F" w:rsidRPr="3B954121">
        <w:rPr>
          <w:rFonts w:ascii="Arial" w:hAnsi="Arial" w:cs="Arial"/>
          <w:color w:val="1F497D" w:themeColor="text2"/>
        </w:rPr>
        <w:t>Adjustment (</w:t>
      </w:r>
      <w:r w:rsidRPr="3B954121">
        <w:rPr>
          <w:rFonts w:ascii="Arial" w:hAnsi="Arial" w:cs="Arial"/>
          <w:color w:val="1F497D" w:themeColor="text2"/>
        </w:rPr>
        <w:t>ACA)</w:t>
      </w:r>
      <w:bookmarkEnd w:id="3"/>
    </w:p>
    <w:p w14:paraId="0924AC6F" w14:textId="77777777" w:rsidR="00DB427F" w:rsidRDefault="00DB427F" w:rsidP="009660BA">
      <w:pPr>
        <w:spacing w:after="0" w:line="240" w:lineRule="auto"/>
      </w:pPr>
    </w:p>
    <w:p w14:paraId="5EF7C56F" w14:textId="30248942" w:rsidR="00DB427F" w:rsidRDefault="00DB427F" w:rsidP="009660BA">
      <w:pPr>
        <w:spacing w:line="240" w:lineRule="auto"/>
        <w:rPr>
          <w:rFonts w:ascii="Arial" w:hAnsi="Arial" w:cs="Arial"/>
          <w:color w:val="000000" w:themeColor="text1"/>
          <w:sz w:val="24"/>
          <w:szCs w:val="24"/>
        </w:rPr>
      </w:pPr>
      <w:r w:rsidRPr="3B954121">
        <w:rPr>
          <w:rFonts w:ascii="Arial" w:hAnsi="Arial" w:cs="Arial"/>
          <w:color w:val="000000" w:themeColor="text1"/>
          <w:sz w:val="24"/>
          <w:szCs w:val="24"/>
        </w:rPr>
        <w:t xml:space="preserve">Schools </w:t>
      </w:r>
      <w:r w:rsidR="008A4CF1" w:rsidRPr="3B954121">
        <w:rPr>
          <w:rFonts w:ascii="Arial" w:hAnsi="Arial" w:cs="Arial"/>
          <w:color w:val="000000" w:themeColor="text1"/>
          <w:sz w:val="24"/>
          <w:szCs w:val="24"/>
        </w:rPr>
        <w:t>ha</w:t>
      </w:r>
      <w:r w:rsidR="00B674EC" w:rsidRPr="3B954121">
        <w:rPr>
          <w:rFonts w:ascii="Arial" w:hAnsi="Arial" w:cs="Arial"/>
          <w:color w:val="000000" w:themeColor="text1"/>
          <w:sz w:val="24"/>
          <w:szCs w:val="24"/>
        </w:rPr>
        <w:t>ve</w:t>
      </w:r>
      <w:r w:rsidR="008A4CF1" w:rsidRPr="3B954121">
        <w:rPr>
          <w:rFonts w:ascii="Arial" w:hAnsi="Arial" w:cs="Arial"/>
          <w:color w:val="000000" w:themeColor="text1"/>
          <w:sz w:val="24"/>
          <w:szCs w:val="24"/>
        </w:rPr>
        <w:t xml:space="preserve"> received</w:t>
      </w:r>
      <w:r w:rsidRPr="3B954121">
        <w:rPr>
          <w:rFonts w:ascii="Arial" w:hAnsi="Arial" w:cs="Arial"/>
          <w:color w:val="000000" w:themeColor="text1"/>
          <w:sz w:val="24"/>
          <w:szCs w:val="24"/>
        </w:rPr>
        <w:t xml:space="preserve"> an area cost adjustment uplift which for Gloucestershire is </w:t>
      </w:r>
      <w:r w:rsidR="008F256E">
        <w:rPr>
          <w:rFonts w:ascii="Arial" w:hAnsi="Arial" w:cs="Arial"/>
          <w:color w:val="000000" w:themeColor="text1"/>
          <w:sz w:val="24"/>
          <w:szCs w:val="24"/>
        </w:rPr>
        <w:t>1</w:t>
      </w:r>
      <w:r w:rsidRPr="3B954121">
        <w:rPr>
          <w:rFonts w:ascii="Arial" w:hAnsi="Arial" w:cs="Arial"/>
          <w:color w:val="000000" w:themeColor="text1"/>
          <w:sz w:val="24"/>
          <w:szCs w:val="24"/>
        </w:rPr>
        <w:t>.006</w:t>
      </w:r>
      <w:r w:rsidR="0AF79562" w:rsidRPr="3B954121">
        <w:rPr>
          <w:rFonts w:ascii="Arial" w:hAnsi="Arial" w:cs="Arial"/>
          <w:color w:val="000000" w:themeColor="text1"/>
          <w:sz w:val="24"/>
          <w:szCs w:val="24"/>
        </w:rPr>
        <w:t>5</w:t>
      </w:r>
      <w:r w:rsidR="00812209">
        <w:rPr>
          <w:rFonts w:ascii="Arial" w:hAnsi="Arial" w:cs="Arial"/>
          <w:color w:val="000000" w:themeColor="text1"/>
          <w:sz w:val="24"/>
          <w:szCs w:val="24"/>
        </w:rPr>
        <w:t>6</w:t>
      </w:r>
      <w:r w:rsidRPr="3B954121">
        <w:rPr>
          <w:rFonts w:ascii="Arial" w:hAnsi="Arial" w:cs="Arial"/>
          <w:color w:val="000000" w:themeColor="text1"/>
          <w:sz w:val="24"/>
          <w:szCs w:val="24"/>
        </w:rPr>
        <w:t xml:space="preserve">. This has </w:t>
      </w:r>
      <w:r w:rsidR="005B6C3A" w:rsidRPr="3B954121">
        <w:rPr>
          <w:rFonts w:ascii="Arial" w:hAnsi="Arial" w:cs="Arial"/>
          <w:color w:val="000000" w:themeColor="text1"/>
          <w:sz w:val="24"/>
          <w:szCs w:val="24"/>
        </w:rPr>
        <w:t xml:space="preserve">already </w:t>
      </w:r>
      <w:r w:rsidRPr="3B954121">
        <w:rPr>
          <w:rFonts w:ascii="Arial" w:hAnsi="Arial" w:cs="Arial"/>
          <w:color w:val="000000" w:themeColor="text1"/>
          <w:sz w:val="24"/>
          <w:szCs w:val="24"/>
        </w:rPr>
        <w:t xml:space="preserve">been applied to the pupil led, school led and split site formula factor </w:t>
      </w:r>
      <w:r w:rsidR="005D1C2B" w:rsidRPr="3B954121">
        <w:rPr>
          <w:rFonts w:ascii="Arial" w:hAnsi="Arial" w:cs="Arial"/>
          <w:color w:val="000000" w:themeColor="text1"/>
          <w:sz w:val="24"/>
          <w:szCs w:val="24"/>
        </w:rPr>
        <w:t>unit values.</w:t>
      </w:r>
      <w:r w:rsidRPr="3B954121">
        <w:rPr>
          <w:rFonts w:ascii="Arial" w:hAnsi="Arial" w:cs="Arial"/>
          <w:color w:val="000000" w:themeColor="text1"/>
          <w:sz w:val="24"/>
          <w:szCs w:val="24"/>
        </w:rPr>
        <w:t xml:space="preserve"> </w:t>
      </w:r>
    </w:p>
    <w:p w14:paraId="625E2C7B" w14:textId="5ACCF709" w:rsidR="00491A97" w:rsidRPr="00191CD0" w:rsidRDefault="00491A97" w:rsidP="009660BA">
      <w:pPr>
        <w:pStyle w:val="Heading1"/>
        <w:numPr>
          <w:ilvl w:val="0"/>
          <w:numId w:val="15"/>
        </w:numPr>
        <w:spacing w:line="240" w:lineRule="auto"/>
        <w:rPr>
          <w:rFonts w:ascii="Arial" w:hAnsi="Arial" w:cs="Arial"/>
          <w:color w:val="1F497D" w:themeColor="text2"/>
        </w:rPr>
      </w:pPr>
      <w:bookmarkStart w:id="4" w:name="_Toc222471252"/>
      <w:r w:rsidRPr="3B954121">
        <w:rPr>
          <w:rFonts w:ascii="Arial" w:hAnsi="Arial" w:cs="Arial"/>
          <w:color w:val="1F497D" w:themeColor="text2"/>
        </w:rPr>
        <w:t xml:space="preserve">Minimum </w:t>
      </w:r>
      <w:r w:rsidR="00A261CF" w:rsidRPr="3B954121">
        <w:rPr>
          <w:rFonts w:ascii="Arial" w:hAnsi="Arial" w:cs="Arial"/>
          <w:color w:val="1F497D" w:themeColor="text2"/>
        </w:rPr>
        <w:t>P</w:t>
      </w:r>
      <w:r w:rsidR="00EA16E5" w:rsidRPr="3B954121">
        <w:rPr>
          <w:rFonts w:ascii="Arial" w:hAnsi="Arial" w:cs="Arial"/>
          <w:color w:val="1F497D" w:themeColor="text2"/>
        </w:rPr>
        <w:t xml:space="preserve">er </w:t>
      </w:r>
      <w:r w:rsidRPr="3B954121">
        <w:rPr>
          <w:rFonts w:ascii="Arial" w:hAnsi="Arial" w:cs="Arial"/>
          <w:color w:val="1F497D" w:themeColor="text2"/>
        </w:rPr>
        <w:t xml:space="preserve">Pupil </w:t>
      </w:r>
      <w:r w:rsidR="00191CD0" w:rsidRPr="3B954121">
        <w:rPr>
          <w:rFonts w:ascii="Arial" w:hAnsi="Arial" w:cs="Arial"/>
          <w:color w:val="1F497D" w:themeColor="text2"/>
        </w:rPr>
        <w:t xml:space="preserve">Level </w:t>
      </w:r>
      <w:r w:rsidR="0052686F" w:rsidRPr="3B954121">
        <w:rPr>
          <w:rFonts w:ascii="Arial" w:hAnsi="Arial" w:cs="Arial"/>
          <w:color w:val="1F497D" w:themeColor="text2"/>
        </w:rPr>
        <w:t>(MP</w:t>
      </w:r>
      <w:r w:rsidR="00EA16E5" w:rsidRPr="3B954121">
        <w:rPr>
          <w:rFonts w:ascii="Arial" w:hAnsi="Arial" w:cs="Arial"/>
          <w:color w:val="1F497D" w:themeColor="text2"/>
        </w:rPr>
        <w:t>P</w:t>
      </w:r>
      <w:r w:rsidR="00191CD0" w:rsidRPr="3B954121">
        <w:rPr>
          <w:rFonts w:ascii="Arial" w:hAnsi="Arial" w:cs="Arial"/>
          <w:color w:val="1F497D" w:themeColor="text2"/>
        </w:rPr>
        <w:t>L</w:t>
      </w:r>
      <w:r w:rsidR="00B72E41">
        <w:rPr>
          <w:rFonts w:ascii="Arial" w:hAnsi="Arial" w:cs="Arial"/>
          <w:color w:val="1F497D" w:themeColor="text2"/>
        </w:rPr>
        <w:t>)</w:t>
      </w:r>
      <w:bookmarkEnd w:id="4"/>
    </w:p>
    <w:p w14:paraId="51DD5FDF" w14:textId="77777777" w:rsidR="00491A97" w:rsidRPr="00191CD0" w:rsidRDefault="00491A97" w:rsidP="009660BA">
      <w:pPr>
        <w:spacing w:after="0" w:line="240" w:lineRule="auto"/>
      </w:pPr>
    </w:p>
    <w:p w14:paraId="73E367AC" w14:textId="042E0591" w:rsidR="008D63D2" w:rsidRDefault="00491A97" w:rsidP="009660BA">
      <w:pPr>
        <w:spacing w:line="240" w:lineRule="auto"/>
        <w:rPr>
          <w:rFonts w:ascii="Arial" w:hAnsi="Arial" w:cs="Arial"/>
          <w:sz w:val="24"/>
          <w:szCs w:val="24"/>
        </w:rPr>
      </w:pPr>
      <w:r w:rsidRPr="679FC5BB">
        <w:rPr>
          <w:rFonts w:ascii="Arial" w:hAnsi="Arial" w:cs="Arial"/>
          <w:sz w:val="24"/>
          <w:szCs w:val="24"/>
        </w:rPr>
        <w:t xml:space="preserve">The national funding formula ensures every school receives a </w:t>
      </w:r>
      <w:r w:rsidR="0052686F" w:rsidRPr="679FC5BB">
        <w:rPr>
          <w:rFonts w:ascii="Arial" w:hAnsi="Arial" w:cs="Arial"/>
          <w:sz w:val="24"/>
          <w:szCs w:val="24"/>
        </w:rPr>
        <w:t>m</w:t>
      </w:r>
      <w:r w:rsidRPr="679FC5BB">
        <w:rPr>
          <w:rFonts w:ascii="Arial" w:hAnsi="Arial" w:cs="Arial"/>
          <w:sz w:val="24"/>
          <w:szCs w:val="24"/>
        </w:rPr>
        <w:t xml:space="preserve">inimum </w:t>
      </w:r>
      <w:r w:rsidR="001E68A9">
        <w:rPr>
          <w:rFonts w:ascii="Arial" w:hAnsi="Arial" w:cs="Arial"/>
          <w:sz w:val="24"/>
          <w:szCs w:val="24"/>
        </w:rPr>
        <w:t xml:space="preserve">per </w:t>
      </w:r>
      <w:r w:rsidR="003D684F" w:rsidRPr="679FC5BB">
        <w:rPr>
          <w:rFonts w:ascii="Arial" w:hAnsi="Arial" w:cs="Arial"/>
          <w:sz w:val="24"/>
          <w:szCs w:val="24"/>
        </w:rPr>
        <w:t>pupil</w:t>
      </w:r>
      <w:r w:rsidR="001E68A9">
        <w:rPr>
          <w:rFonts w:ascii="Arial" w:hAnsi="Arial" w:cs="Arial"/>
          <w:sz w:val="24"/>
          <w:szCs w:val="24"/>
        </w:rPr>
        <w:t xml:space="preserve"> level</w:t>
      </w:r>
      <w:r w:rsidR="00B72E41">
        <w:rPr>
          <w:rFonts w:ascii="Arial" w:hAnsi="Arial" w:cs="Arial"/>
          <w:sz w:val="24"/>
          <w:szCs w:val="24"/>
        </w:rPr>
        <w:t xml:space="preserve"> (MPPL)</w:t>
      </w:r>
      <w:r w:rsidR="003D684F" w:rsidRPr="679FC5BB">
        <w:rPr>
          <w:rFonts w:ascii="Arial" w:hAnsi="Arial" w:cs="Arial"/>
          <w:sz w:val="24"/>
          <w:szCs w:val="24"/>
        </w:rPr>
        <w:t>.</w:t>
      </w:r>
      <w:r w:rsidR="008D63D2">
        <w:rPr>
          <w:rFonts w:ascii="Arial" w:hAnsi="Arial" w:cs="Arial"/>
          <w:sz w:val="24"/>
          <w:szCs w:val="24"/>
        </w:rPr>
        <w:t xml:space="preserve"> </w:t>
      </w:r>
      <w:r w:rsidR="008D63D2" w:rsidRPr="008D63D2">
        <w:rPr>
          <w:rFonts w:ascii="Arial" w:hAnsi="Arial" w:cs="Arial"/>
          <w:sz w:val="24"/>
          <w:szCs w:val="24"/>
        </w:rPr>
        <w:t>Any school whose formula allocation is below the MPPL receives a</w:t>
      </w:r>
      <w:r w:rsidR="008D63D2">
        <w:rPr>
          <w:rFonts w:ascii="Arial" w:hAnsi="Arial" w:cs="Arial"/>
          <w:sz w:val="24"/>
          <w:szCs w:val="24"/>
        </w:rPr>
        <w:t xml:space="preserve"> </w:t>
      </w:r>
      <w:r w:rsidR="008D63D2" w:rsidRPr="008D63D2">
        <w:rPr>
          <w:rFonts w:ascii="Arial" w:hAnsi="Arial" w:cs="Arial"/>
          <w:sz w:val="24"/>
          <w:szCs w:val="24"/>
        </w:rPr>
        <w:t>top up to the minimum levels</w:t>
      </w:r>
      <w:r w:rsidR="00B72E41">
        <w:rPr>
          <w:rFonts w:ascii="Arial" w:hAnsi="Arial" w:cs="Arial"/>
          <w:sz w:val="24"/>
          <w:szCs w:val="24"/>
        </w:rPr>
        <w:t>.</w:t>
      </w:r>
    </w:p>
    <w:p w14:paraId="34B3CB26" w14:textId="760D35BB" w:rsidR="00491A97" w:rsidRDefault="00491A97" w:rsidP="009660BA">
      <w:pPr>
        <w:spacing w:line="240" w:lineRule="auto"/>
        <w:rPr>
          <w:rFonts w:ascii="Arial" w:hAnsi="Arial" w:cs="Arial"/>
          <w:sz w:val="24"/>
          <w:szCs w:val="24"/>
        </w:rPr>
      </w:pPr>
      <w:r w:rsidRPr="679FC5BB">
        <w:rPr>
          <w:rFonts w:ascii="Arial" w:hAnsi="Arial" w:cs="Arial"/>
          <w:sz w:val="24"/>
          <w:szCs w:val="24"/>
        </w:rPr>
        <w:t xml:space="preserve">This calculation is based on all formula factors </w:t>
      </w:r>
      <w:r w:rsidR="00EA16E5" w:rsidRPr="679FC5BB">
        <w:rPr>
          <w:rFonts w:ascii="Arial" w:hAnsi="Arial" w:cs="Arial"/>
          <w:sz w:val="24"/>
          <w:szCs w:val="24"/>
        </w:rPr>
        <w:t xml:space="preserve">(both pupil and school led) but </w:t>
      </w:r>
      <w:r w:rsidR="00B674EC" w:rsidRPr="679FC5BB">
        <w:rPr>
          <w:rFonts w:ascii="Arial" w:hAnsi="Arial" w:cs="Arial"/>
          <w:sz w:val="24"/>
          <w:szCs w:val="24"/>
        </w:rPr>
        <w:t>excludes</w:t>
      </w:r>
      <w:r w:rsidRPr="679FC5BB">
        <w:rPr>
          <w:rFonts w:ascii="Arial" w:hAnsi="Arial" w:cs="Arial"/>
          <w:sz w:val="24"/>
          <w:szCs w:val="24"/>
        </w:rPr>
        <w:t xml:space="preserve"> business rates</w:t>
      </w:r>
      <w:r w:rsidR="00B674EC" w:rsidRPr="679FC5BB">
        <w:rPr>
          <w:rFonts w:ascii="Arial" w:hAnsi="Arial" w:cs="Arial"/>
          <w:sz w:val="24"/>
          <w:szCs w:val="24"/>
        </w:rPr>
        <w:t>, rents</w:t>
      </w:r>
      <w:r w:rsidR="0035416C" w:rsidRPr="679FC5BB">
        <w:rPr>
          <w:rFonts w:ascii="Arial" w:hAnsi="Arial" w:cs="Arial"/>
          <w:sz w:val="24"/>
          <w:szCs w:val="24"/>
        </w:rPr>
        <w:t>, MFG</w:t>
      </w:r>
      <w:r w:rsidR="0052686F" w:rsidRPr="679FC5BB">
        <w:rPr>
          <w:rFonts w:ascii="Arial" w:hAnsi="Arial" w:cs="Arial"/>
          <w:sz w:val="24"/>
          <w:szCs w:val="24"/>
        </w:rPr>
        <w:t xml:space="preserve"> and split sites</w:t>
      </w:r>
      <w:r w:rsidR="00A06170" w:rsidRPr="679FC5BB">
        <w:rPr>
          <w:rFonts w:ascii="Arial" w:hAnsi="Arial" w:cs="Arial"/>
          <w:sz w:val="24"/>
          <w:szCs w:val="24"/>
        </w:rPr>
        <w:t>.</w:t>
      </w:r>
      <w:r w:rsidRPr="679FC5BB">
        <w:rPr>
          <w:rFonts w:ascii="Arial" w:hAnsi="Arial" w:cs="Arial"/>
          <w:sz w:val="24"/>
          <w:szCs w:val="24"/>
        </w:rPr>
        <w:t xml:space="preserve"> </w:t>
      </w:r>
    </w:p>
    <w:tbl>
      <w:tblPr>
        <w:tblStyle w:val="TableGrid"/>
        <w:tblW w:w="9072" w:type="dxa"/>
        <w:tblInd w:w="-5" w:type="dxa"/>
        <w:tblLayout w:type="fixed"/>
        <w:tblLook w:val="04A0" w:firstRow="1" w:lastRow="0" w:firstColumn="1" w:lastColumn="0" w:noHBand="0" w:noVBand="1"/>
      </w:tblPr>
      <w:tblGrid>
        <w:gridCol w:w="2268"/>
        <w:gridCol w:w="2268"/>
        <w:gridCol w:w="2268"/>
        <w:gridCol w:w="2268"/>
      </w:tblGrid>
      <w:tr w:rsidR="00C71C83" w:rsidRPr="0058465F" w14:paraId="42A205E2" w14:textId="44B5E0E7" w:rsidTr="00865978">
        <w:trPr>
          <w:trHeight w:val="397"/>
          <w:tblHeader/>
        </w:trPr>
        <w:tc>
          <w:tcPr>
            <w:tcW w:w="2268" w:type="dxa"/>
            <w:tcBorders>
              <w:top w:val="single" w:sz="4" w:space="0" w:color="auto"/>
            </w:tcBorders>
            <w:shd w:val="clear" w:color="auto" w:fill="D9D9D9" w:themeFill="background1" w:themeFillShade="D9"/>
            <w:vAlign w:val="center"/>
          </w:tcPr>
          <w:p w14:paraId="3798B16F" w14:textId="682AE481" w:rsidR="00C71C83" w:rsidRPr="00AA0224" w:rsidRDefault="00C71C83" w:rsidP="00865978">
            <w:pPr>
              <w:pStyle w:val="ListParagraph"/>
              <w:ind w:left="0"/>
              <w:jc w:val="center"/>
              <w:rPr>
                <w:rFonts w:ascii="Arial" w:hAnsi="Arial" w:cs="Arial"/>
                <w:b/>
                <w:sz w:val="24"/>
                <w:szCs w:val="24"/>
              </w:rPr>
            </w:pPr>
            <w:r w:rsidRPr="00AA0224">
              <w:rPr>
                <w:rFonts w:ascii="Arial" w:hAnsi="Arial" w:cs="Arial"/>
                <w:b/>
                <w:sz w:val="24"/>
                <w:szCs w:val="24"/>
              </w:rPr>
              <w:t>Primary</w:t>
            </w:r>
          </w:p>
        </w:tc>
        <w:tc>
          <w:tcPr>
            <w:tcW w:w="2268" w:type="dxa"/>
            <w:tcBorders>
              <w:top w:val="single" w:sz="4" w:space="0" w:color="auto"/>
            </w:tcBorders>
            <w:shd w:val="clear" w:color="auto" w:fill="D9D9D9" w:themeFill="background1" w:themeFillShade="D9"/>
            <w:vAlign w:val="center"/>
          </w:tcPr>
          <w:p w14:paraId="77DBB455" w14:textId="4171B785" w:rsidR="00C71C83" w:rsidRDefault="00E869EF" w:rsidP="00865978">
            <w:pPr>
              <w:pStyle w:val="ListParagraph"/>
              <w:ind w:left="0"/>
              <w:jc w:val="center"/>
              <w:rPr>
                <w:rFonts w:ascii="Arial" w:hAnsi="Arial" w:cs="Arial"/>
                <w:b/>
                <w:sz w:val="24"/>
                <w:szCs w:val="24"/>
              </w:rPr>
            </w:pPr>
            <w:r>
              <w:rPr>
                <w:rFonts w:ascii="Arial" w:hAnsi="Arial" w:cs="Arial"/>
                <w:b/>
                <w:sz w:val="24"/>
                <w:szCs w:val="24"/>
              </w:rPr>
              <w:t>Secondary Key Stage 3 &amp; 4</w:t>
            </w:r>
          </w:p>
        </w:tc>
        <w:tc>
          <w:tcPr>
            <w:tcW w:w="2268" w:type="dxa"/>
            <w:tcBorders>
              <w:top w:val="single" w:sz="4" w:space="0" w:color="auto"/>
            </w:tcBorders>
            <w:shd w:val="clear" w:color="auto" w:fill="D9D9D9" w:themeFill="background1" w:themeFillShade="D9"/>
            <w:vAlign w:val="center"/>
          </w:tcPr>
          <w:p w14:paraId="2973D418" w14:textId="29D78A1B" w:rsidR="00C71C83" w:rsidRDefault="00E869EF" w:rsidP="00865978">
            <w:pPr>
              <w:pStyle w:val="ListParagraph"/>
              <w:ind w:left="0"/>
              <w:jc w:val="center"/>
              <w:rPr>
                <w:rFonts w:ascii="Arial" w:hAnsi="Arial" w:cs="Arial"/>
                <w:b/>
                <w:sz w:val="24"/>
                <w:szCs w:val="24"/>
              </w:rPr>
            </w:pPr>
            <w:r>
              <w:rPr>
                <w:rFonts w:ascii="Arial" w:hAnsi="Arial" w:cs="Arial"/>
                <w:b/>
                <w:sz w:val="24"/>
                <w:szCs w:val="24"/>
              </w:rPr>
              <w:t>Secondary Key Stage 3 only</w:t>
            </w:r>
          </w:p>
        </w:tc>
        <w:tc>
          <w:tcPr>
            <w:tcW w:w="2268" w:type="dxa"/>
            <w:tcBorders>
              <w:top w:val="single" w:sz="4" w:space="0" w:color="auto"/>
            </w:tcBorders>
            <w:shd w:val="clear" w:color="auto" w:fill="D9D9D9" w:themeFill="background1" w:themeFillShade="D9"/>
            <w:vAlign w:val="center"/>
          </w:tcPr>
          <w:p w14:paraId="1081C6D4" w14:textId="51231ACA" w:rsidR="00C71C83" w:rsidRDefault="00AA454B" w:rsidP="00865978">
            <w:pPr>
              <w:pStyle w:val="ListParagraph"/>
              <w:ind w:left="0"/>
              <w:jc w:val="center"/>
              <w:rPr>
                <w:rFonts w:ascii="Arial" w:hAnsi="Arial" w:cs="Arial"/>
                <w:b/>
                <w:bCs/>
                <w:sz w:val="24"/>
                <w:szCs w:val="24"/>
              </w:rPr>
            </w:pPr>
            <w:r>
              <w:rPr>
                <w:rFonts w:ascii="Arial" w:hAnsi="Arial" w:cs="Arial"/>
                <w:b/>
                <w:bCs/>
                <w:sz w:val="24"/>
                <w:szCs w:val="24"/>
              </w:rPr>
              <w:t xml:space="preserve">Secondary </w:t>
            </w:r>
            <w:r w:rsidR="00865978">
              <w:rPr>
                <w:rFonts w:ascii="Arial" w:hAnsi="Arial" w:cs="Arial"/>
                <w:b/>
                <w:bCs/>
                <w:sz w:val="24"/>
                <w:szCs w:val="24"/>
              </w:rPr>
              <w:t>Key Stage 4</w:t>
            </w:r>
            <w:r w:rsidR="001C398A">
              <w:rPr>
                <w:rFonts w:ascii="Arial" w:hAnsi="Arial" w:cs="Arial"/>
                <w:b/>
                <w:bCs/>
                <w:sz w:val="24"/>
                <w:szCs w:val="24"/>
              </w:rPr>
              <w:t xml:space="preserve"> only</w:t>
            </w:r>
          </w:p>
        </w:tc>
      </w:tr>
      <w:tr w:rsidR="00C71C83" w:rsidRPr="00B37D49" w14:paraId="60498F68" w14:textId="1CCD3491" w:rsidTr="00865978">
        <w:trPr>
          <w:trHeight w:val="397"/>
        </w:trPr>
        <w:tc>
          <w:tcPr>
            <w:tcW w:w="2268" w:type="dxa"/>
            <w:vAlign w:val="center"/>
          </w:tcPr>
          <w:p w14:paraId="5CC8833F" w14:textId="55FD1024" w:rsidR="00C71C83" w:rsidRPr="00B37D49" w:rsidRDefault="00C71C83" w:rsidP="00865978">
            <w:pPr>
              <w:pStyle w:val="ListParagraph"/>
              <w:ind w:left="0"/>
              <w:jc w:val="center"/>
              <w:rPr>
                <w:rFonts w:ascii="Arial" w:hAnsi="Arial" w:cs="Arial"/>
                <w:sz w:val="24"/>
                <w:szCs w:val="24"/>
              </w:rPr>
            </w:pPr>
            <w:r>
              <w:rPr>
                <w:rFonts w:ascii="Arial" w:hAnsi="Arial" w:cs="Arial"/>
                <w:sz w:val="24"/>
                <w:szCs w:val="24"/>
              </w:rPr>
              <w:t>£</w:t>
            </w:r>
            <w:r w:rsidR="002E233D">
              <w:rPr>
                <w:rFonts w:ascii="Arial" w:hAnsi="Arial" w:cs="Arial"/>
                <w:sz w:val="24"/>
                <w:szCs w:val="24"/>
              </w:rPr>
              <w:t>5,115</w:t>
            </w:r>
          </w:p>
        </w:tc>
        <w:tc>
          <w:tcPr>
            <w:tcW w:w="2268" w:type="dxa"/>
            <w:vAlign w:val="center"/>
          </w:tcPr>
          <w:p w14:paraId="135FE10E" w14:textId="098FF0F6" w:rsidR="00C71C83" w:rsidRPr="00B37D49" w:rsidRDefault="00014DFC" w:rsidP="00865978">
            <w:pPr>
              <w:pStyle w:val="ListParagraph"/>
              <w:ind w:left="0"/>
              <w:jc w:val="center"/>
              <w:rPr>
                <w:rFonts w:ascii="Arial" w:hAnsi="Arial" w:cs="Arial"/>
                <w:sz w:val="24"/>
                <w:szCs w:val="24"/>
              </w:rPr>
            </w:pPr>
            <w:r>
              <w:rPr>
                <w:rFonts w:ascii="Arial" w:hAnsi="Arial" w:cs="Arial"/>
                <w:sz w:val="24"/>
                <w:szCs w:val="24"/>
              </w:rPr>
              <w:t>£6,</w:t>
            </w:r>
            <w:r w:rsidR="002E233D">
              <w:rPr>
                <w:rFonts w:ascii="Arial" w:hAnsi="Arial" w:cs="Arial"/>
                <w:sz w:val="24"/>
                <w:szCs w:val="24"/>
              </w:rPr>
              <w:t>640</w:t>
            </w:r>
          </w:p>
        </w:tc>
        <w:tc>
          <w:tcPr>
            <w:tcW w:w="2268" w:type="dxa"/>
            <w:vAlign w:val="center"/>
          </w:tcPr>
          <w:p w14:paraId="693E672D" w14:textId="740372B3" w:rsidR="00C71C83" w:rsidRDefault="002E233D" w:rsidP="00865978">
            <w:pPr>
              <w:pStyle w:val="ListParagraph"/>
              <w:ind w:left="0"/>
              <w:jc w:val="center"/>
              <w:rPr>
                <w:rFonts w:ascii="Arial" w:hAnsi="Arial" w:cs="Arial"/>
                <w:sz w:val="24"/>
                <w:szCs w:val="24"/>
              </w:rPr>
            </w:pPr>
            <w:r>
              <w:rPr>
                <w:rFonts w:ascii="Arial" w:hAnsi="Arial" w:cs="Arial"/>
                <w:sz w:val="24"/>
                <w:szCs w:val="24"/>
              </w:rPr>
              <w:t>£6,338</w:t>
            </w:r>
          </w:p>
        </w:tc>
        <w:tc>
          <w:tcPr>
            <w:tcW w:w="2268" w:type="dxa"/>
            <w:vAlign w:val="center"/>
          </w:tcPr>
          <w:p w14:paraId="076660B1" w14:textId="7E077AF0" w:rsidR="00C71C83" w:rsidRDefault="002E233D" w:rsidP="00865978">
            <w:pPr>
              <w:pStyle w:val="ListParagraph"/>
              <w:ind w:left="0"/>
              <w:jc w:val="center"/>
              <w:rPr>
                <w:rFonts w:ascii="Arial" w:hAnsi="Arial" w:cs="Arial"/>
                <w:sz w:val="24"/>
                <w:szCs w:val="24"/>
              </w:rPr>
            </w:pPr>
            <w:r>
              <w:rPr>
                <w:rFonts w:ascii="Arial" w:hAnsi="Arial" w:cs="Arial"/>
                <w:sz w:val="24"/>
                <w:szCs w:val="24"/>
              </w:rPr>
              <w:t>£7,018</w:t>
            </w:r>
          </w:p>
        </w:tc>
      </w:tr>
    </w:tbl>
    <w:p w14:paraId="7085422D" w14:textId="77777777" w:rsidR="002E7678" w:rsidRDefault="003E39CD" w:rsidP="009660BA">
      <w:pPr>
        <w:pStyle w:val="Heading1"/>
        <w:numPr>
          <w:ilvl w:val="0"/>
          <w:numId w:val="15"/>
        </w:numPr>
        <w:spacing w:line="240" w:lineRule="auto"/>
        <w:rPr>
          <w:rFonts w:ascii="Arial" w:hAnsi="Arial" w:cs="Arial"/>
          <w:color w:val="1F497D" w:themeColor="text2"/>
        </w:rPr>
      </w:pPr>
      <w:bookmarkStart w:id="5" w:name="_Toc222471253"/>
      <w:r w:rsidRPr="3B954121">
        <w:rPr>
          <w:rFonts w:ascii="Arial" w:hAnsi="Arial" w:cs="Arial"/>
          <w:color w:val="1F497D" w:themeColor="text2"/>
        </w:rPr>
        <w:t>M</w:t>
      </w:r>
      <w:r w:rsidR="002E7678" w:rsidRPr="3B954121">
        <w:rPr>
          <w:rFonts w:ascii="Arial" w:hAnsi="Arial" w:cs="Arial"/>
          <w:color w:val="1F497D" w:themeColor="text2"/>
        </w:rPr>
        <w:t>inimum Funding Guarantee Budget (MFG)</w:t>
      </w:r>
      <w:bookmarkEnd w:id="5"/>
    </w:p>
    <w:p w14:paraId="53BFE438" w14:textId="77777777" w:rsidR="00E22374" w:rsidRDefault="00E22374" w:rsidP="009660BA">
      <w:pPr>
        <w:spacing w:line="240" w:lineRule="auto"/>
        <w:contextualSpacing/>
        <w:rPr>
          <w:rFonts w:ascii="Arial" w:hAnsi="Arial" w:cs="Arial"/>
          <w:sz w:val="24"/>
          <w:szCs w:val="24"/>
        </w:rPr>
      </w:pPr>
    </w:p>
    <w:p w14:paraId="786B11C7" w14:textId="0BC365E7" w:rsidR="00277485" w:rsidRDefault="0027244C" w:rsidP="009660BA">
      <w:pPr>
        <w:spacing w:line="240" w:lineRule="auto"/>
        <w:rPr>
          <w:rFonts w:ascii="Arial" w:hAnsi="Arial" w:cs="Arial"/>
          <w:sz w:val="24"/>
          <w:szCs w:val="24"/>
        </w:rPr>
      </w:pPr>
      <w:r w:rsidRPr="00E22374">
        <w:rPr>
          <w:rFonts w:ascii="Arial" w:hAnsi="Arial" w:cs="Arial"/>
          <w:sz w:val="24"/>
          <w:szCs w:val="24"/>
        </w:rPr>
        <w:t xml:space="preserve">The NFF includes a </w:t>
      </w:r>
      <w:r w:rsidR="00461945">
        <w:rPr>
          <w:rFonts w:ascii="Arial" w:hAnsi="Arial" w:cs="Arial"/>
          <w:sz w:val="24"/>
          <w:szCs w:val="24"/>
        </w:rPr>
        <w:t>0</w:t>
      </w:r>
      <w:r w:rsidRPr="00E22374">
        <w:rPr>
          <w:rFonts w:ascii="Arial" w:hAnsi="Arial" w:cs="Arial"/>
          <w:sz w:val="24"/>
          <w:szCs w:val="24"/>
        </w:rPr>
        <w:t>% funding floor transitional adjustment against the school’s</w:t>
      </w:r>
      <w:r w:rsidR="00277485" w:rsidRPr="00E22374">
        <w:rPr>
          <w:rFonts w:ascii="Arial" w:hAnsi="Arial" w:cs="Arial"/>
          <w:sz w:val="24"/>
          <w:szCs w:val="24"/>
        </w:rPr>
        <w:t xml:space="preserve"> </w:t>
      </w:r>
      <w:r w:rsidRPr="00E22374">
        <w:rPr>
          <w:rFonts w:ascii="Arial" w:hAnsi="Arial" w:cs="Arial"/>
          <w:sz w:val="24"/>
          <w:szCs w:val="24"/>
        </w:rPr>
        <w:t xml:space="preserve">previous year’s indicative NFF (not the school’s actual budget received). </w:t>
      </w:r>
    </w:p>
    <w:p w14:paraId="21ADC877" w14:textId="4CA00460" w:rsidR="00757423" w:rsidRDefault="00EF765E" w:rsidP="007A538E">
      <w:pPr>
        <w:spacing w:after="0" w:line="240" w:lineRule="auto"/>
        <w:rPr>
          <w:rFonts w:ascii="Arial" w:hAnsi="Arial" w:cs="Arial"/>
          <w:sz w:val="24"/>
          <w:szCs w:val="24"/>
        </w:rPr>
      </w:pPr>
      <w:r w:rsidRPr="679FC5BB">
        <w:rPr>
          <w:rFonts w:ascii="Arial" w:hAnsi="Arial" w:cs="Arial"/>
          <w:sz w:val="24"/>
          <w:szCs w:val="24"/>
        </w:rPr>
        <w:t xml:space="preserve">The DfE have not allowed </w:t>
      </w:r>
      <w:r w:rsidR="00EA16E5" w:rsidRPr="679FC5BB">
        <w:rPr>
          <w:rFonts w:ascii="Arial" w:hAnsi="Arial" w:cs="Arial"/>
          <w:sz w:val="24"/>
          <w:szCs w:val="24"/>
        </w:rPr>
        <w:t xml:space="preserve">Local Authorities </w:t>
      </w:r>
      <w:r w:rsidRPr="679FC5BB">
        <w:rPr>
          <w:rFonts w:ascii="Arial" w:hAnsi="Arial" w:cs="Arial"/>
          <w:sz w:val="24"/>
          <w:szCs w:val="24"/>
        </w:rPr>
        <w:t xml:space="preserve">to use a funding floor in </w:t>
      </w:r>
      <w:r w:rsidR="008A72F0" w:rsidRPr="679FC5BB">
        <w:rPr>
          <w:rFonts w:ascii="Arial" w:hAnsi="Arial" w:cs="Arial"/>
          <w:sz w:val="24"/>
          <w:szCs w:val="24"/>
        </w:rPr>
        <w:t>202</w:t>
      </w:r>
      <w:r w:rsidR="008A72F0">
        <w:rPr>
          <w:rFonts w:ascii="Arial" w:hAnsi="Arial" w:cs="Arial"/>
          <w:sz w:val="24"/>
          <w:szCs w:val="24"/>
        </w:rPr>
        <w:t>6-27</w:t>
      </w:r>
      <w:r w:rsidR="008A72F0" w:rsidRPr="679FC5BB">
        <w:rPr>
          <w:rFonts w:ascii="Arial" w:hAnsi="Arial" w:cs="Arial"/>
          <w:sz w:val="24"/>
          <w:szCs w:val="24"/>
        </w:rPr>
        <w:t xml:space="preserve"> but</w:t>
      </w:r>
      <w:r w:rsidRPr="679FC5BB">
        <w:rPr>
          <w:rFonts w:ascii="Arial" w:hAnsi="Arial" w:cs="Arial"/>
          <w:sz w:val="24"/>
          <w:szCs w:val="24"/>
        </w:rPr>
        <w:t xml:space="preserve"> instead recommend they set the</w:t>
      </w:r>
      <w:r w:rsidR="0027244C" w:rsidRPr="679FC5BB">
        <w:rPr>
          <w:rFonts w:ascii="Arial" w:hAnsi="Arial" w:cs="Arial"/>
          <w:sz w:val="24"/>
          <w:szCs w:val="24"/>
        </w:rPr>
        <w:t xml:space="preserve"> MFG</w:t>
      </w:r>
      <w:r w:rsidR="009130C3">
        <w:rPr>
          <w:rFonts w:ascii="Arial" w:hAnsi="Arial" w:cs="Arial"/>
          <w:sz w:val="24"/>
          <w:szCs w:val="24"/>
        </w:rPr>
        <w:t xml:space="preserve"> </w:t>
      </w:r>
      <w:r w:rsidR="0099787B">
        <w:rPr>
          <w:rFonts w:ascii="Arial" w:hAnsi="Arial" w:cs="Arial"/>
          <w:sz w:val="24"/>
          <w:szCs w:val="24"/>
        </w:rPr>
        <w:t>at</w:t>
      </w:r>
      <w:r w:rsidR="00277485" w:rsidRPr="679FC5BB">
        <w:rPr>
          <w:rFonts w:ascii="Arial" w:hAnsi="Arial" w:cs="Arial"/>
          <w:sz w:val="24"/>
          <w:szCs w:val="24"/>
        </w:rPr>
        <w:t xml:space="preserve"> </w:t>
      </w:r>
      <w:r w:rsidR="00461945" w:rsidRPr="679FC5BB">
        <w:rPr>
          <w:rFonts w:ascii="Arial" w:hAnsi="Arial" w:cs="Arial"/>
          <w:sz w:val="24"/>
          <w:szCs w:val="24"/>
        </w:rPr>
        <w:t>0</w:t>
      </w:r>
      <w:r w:rsidR="00277485" w:rsidRPr="679FC5BB">
        <w:rPr>
          <w:rFonts w:ascii="Arial" w:hAnsi="Arial" w:cs="Arial"/>
          <w:sz w:val="24"/>
          <w:szCs w:val="24"/>
        </w:rPr>
        <w:t xml:space="preserve">% </w:t>
      </w:r>
      <w:r w:rsidRPr="679FC5BB">
        <w:rPr>
          <w:rFonts w:ascii="Arial" w:hAnsi="Arial" w:cs="Arial"/>
          <w:sz w:val="24"/>
          <w:szCs w:val="24"/>
        </w:rPr>
        <w:t>if they wish to</w:t>
      </w:r>
      <w:r w:rsidR="0027244C" w:rsidRPr="679FC5BB">
        <w:rPr>
          <w:rFonts w:ascii="Arial" w:hAnsi="Arial" w:cs="Arial"/>
          <w:sz w:val="24"/>
          <w:szCs w:val="24"/>
        </w:rPr>
        <w:t xml:space="preserve"> mirror the</w:t>
      </w:r>
      <w:r w:rsidR="00277485" w:rsidRPr="679FC5BB">
        <w:rPr>
          <w:rFonts w:ascii="Arial" w:hAnsi="Arial" w:cs="Arial"/>
          <w:sz w:val="24"/>
          <w:szCs w:val="24"/>
        </w:rPr>
        <w:t xml:space="preserve"> floor protection in the NFF.</w:t>
      </w:r>
      <w:r w:rsidRPr="679FC5BB">
        <w:rPr>
          <w:rFonts w:ascii="Arial" w:hAnsi="Arial" w:cs="Arial"/>
          <w:sz w:val="24"/>
          <w:szCs w:val="24"/>
        </w:rPr>
        <w:t xml:space="preserve"> The Gloucestershire formula therefore includes a </w:t>
      </w:r>
      <w:r w:rsidR="00461945" w:rsidRPr="679FC5BB">
        <w:rPr>
          <w:rFonts w:ascii="Arial" w:hAnsi="Arial" w:cs="Arial"/>
          <w:sz w:val="24"/>
          <w:szCs w:val="24"/>
        </w:rPr>
        <w:t>0</w:t>
      </w:r>
      <w:r w:rsidRPr="679FC5BB">
        <w:rPr>
          <w:rFonts w:ascii="Arial" w:hAnsi="Arial" w:cs="Arial"/>
          <w:sz w:val="24"/>
          <w:szCs w:val="24"/>
        </w:rPr>
        <w:t>% MFG.</w:t>
      </w:r>
    </w:p>
    <w:p w14:paraId="4764BB3B" w14:textId="77777777" w:rsidR="007A538E" w:rsidRDefault="007A538E" w:rsidP="007A538E">
      <w:pPr>
        <w:spacing w:after="0" w:line="240" w:lineRule="auto"/>
        <w:rPr>
          <w:rFonts w:ascii="Arial" w:hAnsi="Arial" w:cs="Arial"/>
          <w:sz w:val="24"/>
          <w:szCs w:val="24"/>
        </w:rPr>
      </w:pPr>
    </w:p>
    <w:p w14:paraId="54968F78" w14:textId="77777777" w:rsidR="00A261CF" w:rsidRPr="00D273A2" w:rsidRDefault="00A261CF" w:rsidP="00757423">
      <w:pPr>
        <w:pStyle w:val="Heading1"/>
        <w:numPr>
          <w:ilvl w:val="0"/>
          <w:numId w:val="15"/>
        </w:numPr>
        <w:spacing w:before="240" w:line="240" w:lineRule="auto"/>
        <w:ind w:left="357" w:hanging="357"/>
        <w:rPr>
          <w:rFonts w:ascii="Arial" w:hAnsi="Arial" w:cs="Arial"/>
          <w:color w:val="1F497D" w:themeColor="text2"/>
        </w:rPr>
      </w:pPr>
      <w:bookmarkStart w:id="6" w:name="_Toc222471254"/>
      <w:r w:rsidRPr="3B954121">
        <w:rPr>
          <w:rFonts w:ascii="Arial" w:hAnsi="Arial" w:cs="Arial"/>
          <w:color w:val="1F497D" w:themeColor="text2"/>
        </w:rPr>
        <w:t>De-Delegation (applies to maintained schools only)</w:t>
      </w:r>
      <w:bookmarkEnd w:id="6"/>
    </w:p>
    <w:p w14:paraId="224EE99D" w14:textId="77777777" w:rsidR="00E22374" w:rsidRDefault="00E22374" w:rsidP="009660BA">
      <w:pPr>
        <w:pStyle w:val="NoSpacing"/>
        <w:rPr>
          <w:rFonts w:ascii="Arial" w:hAnsi="Arial" w:cs="Arial"/>
          <w:sz w:val="24"/>
        </w:rPr>
      </w:pPr>
    </w:p>
    <w:p w14:paraId="5EB3E261" w14:textId="72F1D45C" w:rsidR="00C563D4" w:rsidRDefault="00C563D4" w:rsidP="009660BA">
      <w:pPr>
        <w:pStyle w:val="NoSpacing"/>
        <w:rPr>
          <w:rFonts w:ascii="Arial" w:hAnsi="Arial" w:cs="Arial"/>
          <w:sz w:val="24"/>
        </w:rPr>
      </w:pPr>
      <w:r w:rsidRPr="00C563D4">
        <w:rPr>
          <w:rFonts w:ascii="Arial" w:hAnsi="Arial" w:cs="Arial"/>
          <w:sz w:val="24"/>
        </w:rPr>
        <w:t>Decision-making on de-</w:t>
      </w:r>
      <w:r w:rsidR="00983BF7" w:rsidRPr="00C563D4">
        <w:rPr>
          <w:rFonts w:ascii="Arial" w:hAnsi="Arial" w:cs="Arial"/>
          <w:sz w:val="24"/>
        </w:rPr>
        <w:t>delegation’s</w:t>
      </w:r>
      <w:r w:rsidRPr="00C563D4">
        <w:rPr>
          <w:rFonts w:ascii="Arial" w:hAnsi="Arial" w:cs="Arial"/>
          <w:sz w:val="24"/>
        </w:rPr>
        <w:t xml:space="preserve"> rests with maintained school representatives of</w:t>
      </w:r>
      <w:r>
        <w:rPr>
          <w:rFonts w:ascii="Arial" w:hAnsi="Arial" w:cs="Arial"/>
          <w:sz w:val="24"/>
        </w:rPr>
        <w:t xml:space="preserve"> </w:t>
      </w:r>
      <w:r w:rsidRPr="00C563D4">
        <w:rPr>
          <w:rFonts w:ascii="Arial" w:hAnsi="Arial" w:cs="Arial"/>
          <w:sz w:val="24"/>
        </w:rPr>
        <w:t>the forum only and decisions need to be made separately for each phase.</w:t>
      </w:r>
    </w:p>
    <w:p w14:paraId="5714F4AB" w14:textId="77777777" w:rsidR="00C563D4" w:rsidRPr="00C563D4" w:rsidRDefault="00C563D4" w:rsidP="009660BA">
      <w:pPr>
        <w:pStyle w:val="NoSpacing"/>
        <w:rPr>
          <w:rFonts w:ascii="Arial" w:hAnsi="Arial" w:cs="Arial"/>
          <w:sz w:val="24"/>
        </w:rPr>
      </w:pPr>
    </w:p>
    <w:p w14:paraId="3C8F4AA7" w14:textId="5E5B7463" w:rsidR="00C563D4" w:rsidRDefault="00C563D4" w:rsidP="009660BA">
      <w:pPr>
        <w:pStyle w:val="NoSpacing"/>
        <w:rPr>
          <w:rFonts w:ascii="Arial" w:hAnsi="Arial" w:cs="Arial"/>
          <w:sz w:val="24"/>
        </w:rPr>
      </w:pPr>
      <w:r w:rsidRPr="00C563D4">
        <w:rPr>
          <w:rFonts w:ascii="Arial" w:hAnsi="Arial" w:cs="Arial"/>
          <w:sz w:val="24"/>
        </w:rPr>
        <w:t>Deductions are made from the formula allocations for maintained schools only. The</w:t>
      </w:r>
      <w:r>
        <w:rPr>
          <w:rFonts w:ascii="Arial" w:hAnsi="Arial" w:cs="Arial"/>
          <w:sz w:val="24"/>
        </w:rPr>
        <w:t xml:space="preserve"> </w:t>
      </w:r>
      <w:r w:rsidRPr="00C563D4">
        <w:rPr>
          <w:rFonts w:ascii="Arial" w:hAnsi="Arial" w:cs="Arial"/>
          <w:sz w:val="24"/>
        </w:rPr>
        <w:t>aggregate total for each de-delegated budget changes each year to reflect both</w:t>
      </w:r>
      <w:r>
        <w:rPr>
          <w:rFonts w:ascii="Arial" w:hAnsi="Arial" w:cs="Arial"/>
          <w:sz w:val="24"/>
        </w:rPr>
        <w:t xml:space="preserve"> </w:t>
      </w:r>
      <w:r w:rsidRPr="00C563D4">
        <w:rPr>
          <w:rFonts w:ascii="Arial" w:hAnsi="Arial" w:cs="Arial"/>
          <w:sz w:val="24"/>
        </w:rPr>
        <w:t>changes in maintained pupil numbers and reductions due to further academy</w:t>
      </w:r>
      <w:r>
        <w:rPr>
          <w:rFonts w:ascii="Arial" w:hAnsi="Arial" w:cs="Arial"/>
          <w:sz w:val="24"/>
        </w:rPr>
        <w:t xml:space="preserve"> </w:t>
      </w:r>
      <w:r w:rsidRPr="00C563D4">
        <w:rPr>
          <w:rFonts w:ascii="Arial" w:hAnsi="Arial" w:cs="Arial"/>
          <w:sz w:val="24"/>
        </w:rPr>
        <w:t>conversions.</w:t>
      </w:r>
    </w:p>
    <w:p w14:paraId="7B70EB9E" w14:textId="77777777" w:rsidR="00992573" w:rsidRDefault="00992573" w:rsidP="009660BA">
      <w:pPr>
        <w:pStyle w:val="NoSpacing"/>
        <w:rPr>
          <w:rFonts w:ascii="Arial" w:hAnsi="Arial" w:cs="Arial"/>
          <w:sz w:val="24"/>
        </w:rPr>
      </w:pPr>
    </w:p>
    <w:p w14:paraId="30C516C0" w14:textId="230A38D3" w:rsidR="00992573" w:rsidRDefault="00992573" w:rsidP="009660BA">
      <w:pPr>
        <w:pStyle w:val="NoSpacing"/>
        <w:rPr>
          <w:rFonts w:ascii="Arial" w:hAnsi="Arial" w:cs="Arial"/>
          <w:b/>
          <w:bCs/>
          <w:sz w:val="24"/>
        </w:rPr>
      </w:pPr>
      <w:r w:rsidRPr="00EC42D9">
        <w:rPr>
          <w:rFonts w:ascii="Arial" w:hAnsi="Arial" w:cs="Arial"/>
          <w:b/>
          <w:bCs/>
          <w:sz w:val="24"/>
        </w:rPr>
        <w:t>Targeted Intervention and Support</w:t>
      </w:r>
      <w:r>
        <w:rPr>
          <w:rFonts w:ascii="Arial" w:hAnsi="Arial" w:cs="Arial"/>
          <w:b/>
          <w:bCs/>
          <w:sz w:val="24"/>
        </w:rPr>
        <w:t xml:space="preserve"> (Maintained Primary and Secondary Schools)</w:t>
      </w:r>
    </w:p>
    <w:p w14:paraId="14068936" w14:textId="77777777" w:rsidR="00992573" w:rsidRDefault="00992573" w:rsidP="009660BA">
      <w:pPr>
        <w:pStyle w:val="NoSpacing"/>
        <w:rPr>
          <w:rFonts w:ascii="Arial" w:hAnsi="Arial" w:cs="Arial"/>
          <w:b/>
          <w:bCs/>
          <w:sz w:val="24"/>
        </w:rPr>
      </w:pPr>
    </w:p>
    <w:p w14:paraId="59CA9EB4" w14:textId="49F76406" w:rsidR="00992573" w:rsidRDefault="00992573" w:rsidP="009660BA">
      <w:pPr>
        <w:pStyle w:val="NoSpacing"/>
        <w:rPr>
          <w:rFonts w:ascii="Arial" w:hAnsi="Arial" w:cs="Arial"/>
          <w:sz w:val="24"/>
        </w:rPr>
      </w:pPr>
      <w:r w:rsidRPr="00B62484">
        <w:rPr>
          <w:rFonts w:ascii="Arial" w:hAnsi="Arial" w:cs="Arial"/>
          <w:sz w:val="24"/>
        </w:rPr>
        <w:t>The local authority will continue to operate a school improvement service for</w:t>
      </w:r>
      <w:r>
        <w:rPr>
          <w:rFonts w:ascii="Arial" w:hAnsi="Arial" w:cs="Arial"/>
          <w:sz w:val="24"/>
        </w:rPr>
        <w:t xml:space="preserve"> </w:t>
      </w:r>
      <w:r w:rsidRPr="00B62484">
        <w:rPr>
          <w:rFonts w:ascii="Arial" w:hAnsi="Arial" w:cs="Arial"/>
          <w:sz w:val="24"/>
        </w:rPr>
        <w:t>maintained schools that is partially funded through de-delegation and partly funded</w:t>
      </w:r>
      <w:r>
        <w:rPr>
          <w:rFonts w:ascii="Arial" w:hAnsi="Arial" w:cs="Arial"/>
          <w:sz w:val="24"/>
        </w:rPr>
        <w:t xml:space="preserve"> </w:t>
      </w:r>
      <w:r w:rsidRPr="00B62484">
        <w:rPr>
          <w:rFonts w:ascii="Arial" w:hAnsi="Arial" w:cs="Arial"/>
          <w:sz w:val="24"/>
        </w:rPr>
        <w:t>through a traded service</w:t>
      </w:r>
      <w:r>
        <w:rPr>
          <w:rFonts w:ascii="Arial" w:hAnsi="Arial" w:cs="Arial"/>
          <w:sz w:val="24"/>
        </w:rPr>
        <w:t xml:space="preserve"> </w:t>
      </w:r>
      <w:r w:rsidRPr="00B62484">
        <w:rPr>
          <w:rFonts w:ascii="Arial" w:hAnsi="Arial" w:cs="Arial"/>
          <w:sz w:val="24"/>
        </w:rPr>
        <w:t>(</w:t>
      </w:r>
      <w:hyperlink r:id="rId17" w:history="1">
        <w:r w:rsidRPr="008A72F0">
          <w:rPr>
            <w:rStyle w:val="Hyperlink"/>
            <w:rFonts w:ascii="Arial" w:hAnsi="Arial" w:cs="Arial"/>
            <w:sz w:val="24"/>
          </w:rPr>
          <w:t>GLOSSI</w:t>
        </w:r>
      </w:hyperlink>
      <w:r w:rsidRPr="00B62484">
        <w:rPr>
          <w:rFonts w:ascii="Arial" w:hAnsi="Arial" w:cs="Arial"/>
          <w:sz w:val="24"/>
        </w:rPr>
        <w:t>).</w:t>
      </w:r>
    </w:p>
    <w:p w14:paraId="4D37412C" w14:textId="77777777" w:rsidR="00992573" w:rsidRPr="00B62484" w:rsidRDefault="00992573" w:rsidP="009660BA">
      <w:pPr>
        <w:pStyle w:val="NoSpacing"/>
        <w:rPr>
          <w:rFonts w:ascii="Arial" w:hAnsi="Arial" w:cs="Arial"/>
          <w:sz w:val="24"/>
        </w:rPr>
      </w:pPr>
    </w:p>
    <w:p w14:paraId="5BCC1065" w14:textId="77777777" w:rsidR="00992573" w:rsidRDefault="00992573" w:rsidP="009660BA">
      <w:pPr>
        <w:pStyle w:val="NoSpacing"/>
        <w:rPr>
          <w:rFonts w:ascii="Arial" w:hAnsi="Arial" w:cs="Arial"/>
          <w:sz w:val="24"/>
        </w:rPr>
      </w:pPr>
      <w:r w:rsidRPr="00B62484">
        <w:rPr>
          <w:rFonts w:ascii="Arial" w:hAnsi="Arial" w:cs="Arial"/>
          <w:sz w:val="24"/>
        </w:rPr>
        <w:t>Targeted intervention funding enables the LA to provide support to schools that are</w:t>
      </w:r>
      <w:r>
        <w:rPr>
          <w:rFonts w:ascii="Arial" w:hAnsi="Arial" w:cs="Arial"/>
          <w:sz w:val="24"/>
        </w:rPr>
        <w:t xml:space="preserve"> </w:t>
      </w:r>
      <w:r w:rsidRPr="00B62484">
        <w:rPr>
          <w:rFonts w:ascii="Arial" w:hAnsi="Arial" w:cs="Arial"/>
          <w:sz w:val="24"/>
        </w:rPr>
        <w:t>identified as ‘at risk’. It funds both the infrastructure to support the oversight of all LA</w:t>
      </w:r>
      <w:r>
        <w:rPr>
          <w:rFonts w:ascii="Arial" w:hAnsi="Arial" w:cs="Arial"/>
          <w:sz w:val="24"/>
        </w:rPr>
        <w:t xml:space="preserve"> </w:t>
      </w:r>
      <w:r w:rsidRPr="00B62484">
        <w:rPr>
          <w:rFonts w:ascii="Arial" w:hAnsi="Arial" w:cs="Arial"/>
          <w:sz w:val="24"/>
        </w:rPr>
        <w:t xml:space="preserve">maintained schools and </w:t>
      </w:r>
      <w:r w:rsidRPr="00B62484">
        <w:rPr>
          <w:rFonts w:ascii="Arial" w:hAnsi="Arial" w:cs="Arial"/>
          <w:sz w:val="24"/>
        </w:rPr>
        <w:lastRenderedPageBreak/>
        <w:t>where appropriate implement project groups, which are the</w:t>
      </w:r>
      <w:r>
        <w:rPr>
          <w:rFonts w:ascii="Arial" w:hAnsi="Arial" w:cs="Arial"/>
          <w:sz w:val="24"/>
        </w:rPr>
        <w:t xml:space="preserve"> </w:t>
      </w:r>
      <w:r w:rsidRPr="00B62484">
        <w:rPr>
          <w:rFonts w:ascii="Arial" w:hAnsi="Arial" w:cs="Arial"/>
          <w:sz w:val="24"/>
        </w:rPr>
        <w:t>vehicle for overseeing and implementing rapid improvement plans.</w:t>
      </w:r>
    </w:p>
    <w:p w14:paraId="3E9DE39C" w14:textId="77777777" w:rsidR="00992573" w:rsidRPr="00B62484" w:rsidRDefault="00992573" w:rsidP="009660BA">
      <w:pPr>
        <w:pStyle w:val="NoSpacing"/>
        <w:rPr>
          <w:rFonts w:ascii="Arial" w:hAnsi="Arial" w:cs="Arial"/>
          <w:sz w:val="24"/>
        </w:rPr>
      </w:pPr>
    </w:p>
    <w:p w14:paraId="4A31A73F" w14:textId="77777777" w:rsidR="00992573" w:rsidRDefault="00992573" w:rsidP="009660BA">
      <w:pPr>
        <w:pStyle w:val="NoSpacing"/>
        <w:rPr>
          <w:rFonts w:ascii="Arial" w:hAnsi="Arial" w:cs="Arial"/>
          <w:sz w:val="24"/>
        </w:rPr>
      </w:pPr>
      <w:r w:rsidRPr="00B62484">
        <w:rPr>
          <w:rFonts w:ascii="Arial" w:hAnsi="Arial" w:cs="Arial"/>
          <w:sz w:val="24"/>
        </w:rPr>
        <w:t>Research shows that schools at risk of decline or failure are likely to benefit from</w:t>
      </w:r>
      <w:r>
        <w:rPr>
          <w:rFonts w:ascii="Arial" w:hAnsi="Arial" w:cs="Arial"/>
          <w:sz w:val="24"/>
        </w:rPr>
        <w:t xml:space="preserve"> </w:t>
      </w:r>
      <w:r w:rsidRPr="00B62484">
        <w:rPr>
          <w:rFonts w:ascii="Arial" w:hAnsi="Arial" w:cs="Arial"/>
          <w:sz w:val="24"/>
        </w:rPr>
        <w:t>specialist HR advice. A HR business partner for schools is funded and dedicated to</w:t>
      </w:r>
      <w:r>
        <w:rPr>
          <w:rFonts w:ascii="Arial" w:hAnsi="Arial" w:cs="Arial"/>
          <w:sz w:val="24"/>
        </w:rPr>
        <w:t xml:space="preserve"> </w:t>
      </w:r>
      <w:r w:rsidRPr="00B62484">
        <w:rPr>
          <w:rFonts w:ascii="Arial" w:hAnsi="Arial" w:cs="Arial"/>
          <w:sz w:val="24"/>
        </w:rPr>
        <w:t>the Education Outcomes and Intervention Team.</w:t>
      </w:r>
    </w:p>
    <w:p w14:paraId="6DE9F1FA" w14:textId="77777777" w:rsidR="00992573" w:rsidRPr="00B62484" w:rsidRDefault="00992573" w:rsidP="009660BA">
      <w:pPr>
        <w:pStyle w:val="NoSpacing"/>
        <w:rPr>
          <w:rFonts w:ascii="Arial" w:hAnsi="Arial" w:cs="Arial"/>
          <w:sz w:val="24"/>
        </w:rPr>
      </w:pPr>
    </w:p>
    <w:p w14:paraId="42F4F8B5" w14:textId="5E713C55" w:rsidR="00992573" w:rsidRDefault="00992573" w:rsidP="009660BA">
      <w:pPr>
        <w:pStyle w:val="NoSpacing"/>
        <w:rPr>
          <w:rFonts w:ascii="Arial" w:hAnsi="Arial" w:cs="Arial"/>
          <w:sz w:val="24"/>
        </w:rPr>
      </w:pPr>
      <w:r w:rsidRPr="00B62484">
        <w:rPr>
          <w:rFonts w:ascii="Arial" w:hAnsi="Arial" w:cs="Arial"/>
          <w:sz w:val="24"/>
        </w:rPr>
        <w:t>As in previous years, funding will be used where it is identified that the school would</w:t>
      </w:r>
      <w:r>
        <w:rPr>
          <w:rFonts w:ascii="Arial" w:hAnsi="Arial" w:cs="Arial"/>
          <w:sz w:val="24"/>
        </w:rPr>
        <w:t xml:space="preserve"> </w:t>
      </w:r>
      <w:r w:rsidRPr="00B62484">
        <w:rPr>
          <w:rFonts w:ascii="Arial" w:hAnsi="Arial" w:cs="Arial"/>
          <w:sz w:val="24"/>
        </w:rPr>
        <w:t xml:space="preserve">benefit from other specialist support (e.g. Safeguarding, Finance, </w:t>
      </w:r>
      <w:r w:rsidR="00E13479" w:rsidRPr="00B62484">
        <w:rPr>
          <w:rFonts w:ascii="Arial" w:hAnsi="Arial" w:cs="Arial"/>
          <w:sz w:val="24"/>
        </w:rPr>
        <w:t>Health,</w:t>
      </w:r>
      <w:r w:rsidRPr="00B62484">
        <w:rPr>
          <w:rFonts w:ascii="Arial" w:hAnsi="Arial" w:cs="Arial"/>
          <w:sz w:val="24"/>
        </w:rPr>
        <w:t xml:space="preserve"> and Safety)</w:t>
      </w:r>
      <w:r>
        <w:rPr>
          <w:rFonts w:ascii="Arial" w:hAnsi="Arial" w:cs="Arial"/>
          <w:sz w:val="24"/>
        </w:rPr>
        <w:t xml:space="preserve"> </w:t>
      </w:r>
      <w:r w:rsidRPr="00B62484">
        <w:rPr>
          <w:rFonts w:ascii="Arial" w:hAnsi="Arial" w:cs="Arial"/>
          <w:sz w:val="24"/>
        </w:rPr>
        <w:t>this is coordinated and funded through the project group.</w:t>
      </w:r>
    </w:p>
    <w:p w14:paraId="4AF61F61" w14:textId="77777777" w:rsidR="00992573" w:rsidRDefault="00992573" w:rsidP="009660BA">
      <w:pPr>
        <w:pStyle w:val="NoSpacing"/>
        <w:rPr>
          <w:rFonts w:ascii="Arial" w:hAnsi="Arial" w:cs="Arial"/>
          <w:sz w:val="24"/>
        </w:rPr>
      </w:pPr>
    </w:p>
    <w:tbl>
      <w:tblPr>
        <w:tblStyle w:val="TableGrid"/>
        <w:tblW w:w="4536" w:type="dxa"/>
        <w:tblInd w:w="-5" w:type="dxa"/>
        <w:tblLayout w:type="fixed"/>
        <w:tblLook w:val="04A0" w:firstRow="1" w:lastRow="0" w:firstColumn="1" w:lastColumn="0" w:noHBand="0" w:noVBand="1"/>
      </w:tblPr>
      <w:tblGrid>
        <w:gridCol w:w="2268"/>
        <w:gridCol w:w="2268"/>
      </w:tblGrid>
      <w:tr w:rsidR="00992573" w:rsidRPr="00AA0224" w14:paraId="56E79FB0" w14:textId="77777777" w:rsidTr="00983BF7">
        <w:trPr>
          <w:trHeight w:val="397"/>
          <w:tblHeader/>
        </w:trPr>
        <w:tc>
          <w:tcPr>
            <w:tcW w:w="2268" w:type="dxa"/>
            <w:tcBorders>
              <w:top w:val="single" w:sz="4" w:space="0" w:color="auto"/>
            </w:tcBorders>
            <w:shd w:val="clear" w:color="auto" w:fill="D9D9D9" w:themeFill="background1" w:themeFillShade="D9"/>
            <w:vAlign w:val="center"/>
          </w:tcPr>
          <w:p w14:paraId="5F1EAE18" w14:textId="77777777" w:rsidR="00992573" w:rsidRPr="00AA0224" w:rsidRDefault="00992573" w:rsidP="009660BA">
            <w:pPr>
              <w:pStyle w:val="ListParagraph"/>
              <w:ind w:left="0"/>
              <w:jc w:val="center"/>
              <w:rPr>
                <w:rFonts w:ascii="Arial" w:hAnsi="Arial" w:cs="Arial"/>
                <w:b/>
                <w:sz w:val="24"/>
                <w:szCs w:val="24"/>
              </w:rPr>
            </w:pPr>
            <w:r w:rsidRPr="00AA0224">
              <w:rPr>
                <w:rFonts w:ascii="Arial" w:hAnsi="Arial" w:cs="Arial"/>
                <w:b/>
                <w:sz w:val="24"/>
                <w:szCs w:val="24"/>
              </w:rPr>
              <w:t>Primary</w:t>
            </w:r>
            <w:r>
              <w:rPr>
                <w:rFonts w:ascii="Arial" w:hAnsi="Arial" w:cs="Arial"/>
                <w:b/>
                <w:sz w:val="24"/>
                <w:szCs w:val="24"/>
              </w:rPr>
              <w:t xml:space="preserve"> Per Pupil</w:t>
            </w:r>
          </w:p>
        </w:tc>
        <w:tc>
          <w:tcPr>
            <w:tcW w:w="2268" w:type="dxa"/>
            <w:tcBorders>
              <w:top w:val="single" w:sz="4" w:space="0" w:color="auto"/>
            </w:tcBorders>
            <w:shd w:val="clear" w:color="auto" w:fill="D9D9D9" w:themeFill="background1" w:themeFillShade="D9"/>
          </w:tcPr>
          <w:p w14:paraId="3709B11A" w14:textId="77777777" w:rsidR="00992573" w:rsidRDefault="00992573" w:rsidP="009660BA">
            <w:pPr>
              <w:pStyle w:val="ListParagraph"/>
              <w:ind w:left="0"/>
              <w:jc w:val="center"/>
              <w:rPr>
                <w:rFonts w:ascii="Arial" w:hAnsi="Arial" w:cs="Arial"/>
                <w:b/>
                <w:sz w:val="24"/>
                <w:szCs w:val="24"/>
              </w:rPr>
            </w:pPr>
            <w:r>
              <w:rPr>
                <w:rFonts w:ascii="Arial" w:hAnsi="Arial" w:cs="Arial"/>
                <w:b/>
                <w:sz w:val="24"/>
                <w:szCs w:val="24"/>
              </w:rPr>
              <w:t>Secondary</w:t>
            </w:r>
          </w:p>
          <w:p w14:paraId="09DBF8E2" w14:textId="77777777" w:rsidR="00992573" w:rsidRPr="00AA0224" w:rsidRDefault="00992573" w:rsidP="009660BA">
            <w:pPr>
              <w:pStyle w:val="ListParagraph"/>
              <w:ind w:left="0"/>
              <w:jc w:val="center"/>
              <w:rPr>
                <w:rFonts w:ascii="Arial" w:hAnsi="Arial" w:cs="Arial"/>
                <w:b/>
                <w:sz w:val="24"/>
                <w:szCs w:val="24"/>
              </w:rPr>
            </w:pPr>
            <w:r>
              <w:rPr>
                <w:rFonts w:ascii="Arial" w:hAnsi="Arial" w:cs="Arial"/>
                <w:b/>
                <w:sz w:val="24"/>
                <w:szCs w:val="24"/>
              </w:rPr>
              <w:t>Per Pupil</w:t>
            </w:r>
          </w:p>
        </w:tc>
      </w:tr>
      <w:tr w:rsidR="00992573" w:rsidRPr="00B37D49" w14:paraId="06D1D0BB" w14:textId="77777777" w:rsidTr="00983BF7">
        <w:trPr>
          <w:trHeight w:val="397"/>
        </w:trPr>
        <w:tc>
          <w:tcPr>
            <w:tcW w:w="2268" w:type="dxa"/>
            <w:vAlign w:val="center"/>
          </w:tcPr>
          <w:p w14:paraId="0EE5F583" w14:textId="77777777" w:rsidR="00992573" w:rsidRPr="00B37D49" w:rsidRDefault="00992573" w:rsidP="009660BA">
            <w:pPr>
              <w:pStyle w:val="ListParagraph"/>
              <w:ind w:left="0"/>
              <w:jc w:val="center"/>
              <w:rPr>
                <w:rFonts w:ascii="Arial" w:hAnsi="Arial" w:cs="Arial"/>
                <w:sz w:val="24"/>
                <w:szCs w:val="24"/>
              </w:rPr>
            </w:pPr>
            <w:r>
              <w:rPr>
                <w:rFonts w:ascii="Arial" w:hAnsi="Arial" w:cs="Arial"/>
                <w:sz w:val="24"/>
                <w:szCs w:val="24"/>
              </w:rPr>
              <w:t>£14.27</w:t>
            </w:r>
          </w:p>
        </w:tc>
        <w:tc>
          <w:tcPr>
            <w:tcW w:w="2268" w:type="dxa"/>
            <w:vAlign w:val="center"/>
          </w:tcPr>
          <w:p w14:paraId="27085C83" w14:textId="77777777" w:rsidR="00992573" w:rsidRDefault="00992573" w:rsidP="009660BA">
            <w:pPr>
              <w:pStyle w:val="ListParagraph"/>
              <w:ind w:left="0"/>
              <w:jc w:val="center"/>
              <w:rPr>
                <w:rFonts w:ascii="Arial" w:hAnsi="Arial" w:cs="Arial"/>
                <w:sz w:val="24"/>
                <w:szCs w:val="24"/>
              </w:rPr>
            </w:pPr>
            <w:r>
              <w:rPr>
                <w:rFonts w:ascii="Arial" w:hAnsi="Arial" w:cs="Arial"/>
                <w:sz w:val="24"/>
                <w:szCs w:val="24"/>
              </w:rPr>
              <w:t>£5.00</w:t>
            </w:r>
          </w:p>
        </w:tc>
      </w:tr>
    </w:tbl>
    <w:p w14:paraId="1289838C" w14:textId="77777777" w:rsidR="00C563D4" w:rsidRDefault="00C563D4" w:rsidP="009660BA">
      <w:pPr>
        <w:pStyle w:val="NoSpacing"/>
        <w:rPr>
          <w:rFonts w:ascii="Arial" w:hAnsi="Arial" w:cs="Arial"/>
          <w:sz w:val="24"/>
        </w:rPr>
      </w:pPr>
    </w:p>
    <w:p w14:paraId="4A6ADCCA" w14:textId="797314CD" w:rsidR="00C563D4" w:rsidRPr="00AD0FA6" w:rsidRDefault="00913207" w:rsidP="009660BA">
      <w:pPr>
        <w:pStyle w:val="NoSpacing"/>
        <w:rPr>
          <w:rFonts w:ascii="Arial" w:hAnsi="Arial" w:cs="Arial"/>
          <w:b/>
          <w:bCs/>
          <w:sz w:val="24"/>
        </w:rPr>
      </w:pPr>
      <w:r w:rsidRPr="00AD0FA6">
        <w:rPr>
          <w:rFonts w:ascii="Arial" w:hAnsi="Arial" w:cs="Arial"/>
          <w:b/>
          <w:bCs/>
          <w:sz w:val="24"/>
        </w:rPr>
        <w:t>In year increases in pupil numbers at primary schools</w:t>
      </w:r>
      <w:r w:rsidR="00992573">
        <w:rPr>
          <w:rFonts w:ascii="Arial" w:hAnsi="Arial" w:cs="Arial"/>
          <w:b/>
          <w:bCs/>
          <w:sz w:val="24"/>
        </w:rPr>
        <w:t xml:space="preserve"> (</w:t>
      </w:r>
      <w:r w:rsidR="006013E3">
        <w:rPr>
          <w:rFonts w:ascii="Arial" w:hAnsi="Arial" w:cs="Arial"/>
          <w:b/>
          <w:bCs/>
          <w:sz w:val="24"/>
        </w:rPr>
        <w:t xml:space="preserve">Maintained </w:t>
      </w:r>
      <w:r w:rsidR="00992573">
        <w:rPr>
          <w:rFonts w:ascii="Arial" w:hAnsi="Arial" w:cs="Arial"/>
          <w:b/>
          <w:bCs/>
          <w:sz w:val="24"/>
        </w:rPr>
        <w:t>Pri</w:t>
      </w:r>
      <w:r w:rsidR="006013E3">
        <w:rPr>
          <w:rFonts w:ascii="Arial" w:hAnsi="Arial" w:cs="Arial"/>
          <w:b/>
          <w:bCs/>
          <w:sz w:val="24"/>
        </w:rPr>
        <w:t>mary Schools)</w:t>
      </w:r>
    </w:p>
    <w:p w14:paraId="50F516EA" w14:textId="77777777" w:rsidR="00AD0FA6" w:rsidRDefault="00AD0FA6" w:rsidP="009660BA">
      <w:pPr>
        <w:pStyle w:val="NoSpacing"/>
        <w:rPr>
          <w:rFonts w:ascii="Arial" w:hAnsi="Arial" w:cs="Arial"/>
          <w:sz w:val="24"/>
        </w:rPr>
      </w:pPr>
    </w:p>
    <w:p w14:paraId="157C62C2" w14:textId="77777777" w:rsidR="00DE34BB" w:rsidRDefault="00AD0FA6" w:rsidP="009660BA">
      <w:pPr>
        <w:pStyle w:val="NoSpacing"/>
        <w:rPr>
          <w:rFonts w:ascii="Arial" w:hAnsi="Arial" w:cs="Arial"/>
          <w:sz w:val="24"/>
        </w:rPr>
      </w:pPr>
      <w:r w:rsidRPr="00AD0FA6">
        <w:rPr>
          <w:rFonts w:ascii="Arial" w:hAnsi="Arial" w:cs="Arial"/>
          <w:sz w:val="24"/>
        </w:rPr>
        <w:t>This supports maintained primaries with significant pupil increases above a threshold in their NOR between October census dates</w:t>
      </w:r>
      <w:r w:rsidR="00DE34BB">
        <w:rPr>
          <w:rFonts w:ascii="Arial" w:hAnsi="Arial" w:cs="Arial"/>
          <w:sz w:val="24"/>
        </w:rPr>
        <w:t xml:space="preserve">: </w:t>
      </w:r>
    </w:p>
    <w:p w14:paraId="0095C32D" w14:textId="77777777" w:rsidR="00DE34BB" w:rsidRDefault="00DE34BB" w:rsidP="009660BA">
      <w:pPr>
        <w:pStyle w:val="NoSpacing"/>
        <w:rPr>
          <w:rFonts w:ascii="Arial" w:hAnsi="Arial" w:cs="Arial"/>
          <w:sz w:val="24"/>
        </w:rPr>
      </w:pPr>
    </w:p>
    <w:p w14:paraId="0345A6C9" w14:textId="556D70E5" w:rsidR="00AD0FA6" w:rsidRDefault="00DE34BB" w:rsidP="009660BA">
      <w:pPr>
        <w:pStyle w:val="NoSpacing"/>
        <w:rPr>
          <w:rFonts w:ascii="Arial" w:hAnsi="Arial" w:cs="Arial"/>
          <w:sz w:val="24"/>
        </w:rPr>
      </w:pPr>
      <w:r>
        <w:rPr>
          <w:rFonts w:ascii="Arial" w:hAnsi="Arial" w:cs="Arial"/>
          <w:sz w:val="24"/>
        </w:rPr>
        <w:t>W</w:t>
      </w:r>
      <w:r w:rsidR="00AD0FA6" w:rsidRPr="00AD0FA6">
        <w:rPr>
          <w:rFonts w:ascii="Arial" w:hAnsi="Arial" w:cs="Arial"/>
          <w:sz w:val="24"/>
        </w:rPr>
        <w:t>here the increase in October School Census numbers exceeds the higher of 5% or 10 pupils (the 5% threshold is subject to a ceiling of 15 pupils) then 7/12 of the Basic Entitlement (Age Weighted Pupil Unit) pupil allocation will be triggered for each pupil above this threshold.</w:t>
      </w:r>
    </w:p>
    <w:p w14:paraId="72768A3B" w14:textId="77777777" w:rsidR="00AD0FA6" w:rsidRDefault="00AD0FA6" w:rsidP="009660BA">
      <w:pPr>
        <w:pStyle w:val="NoSpacing"/>
        <w:rPr>
          <w:rFonts w:ascii="Arial" w:hAnsi="Arial" w:cs="Arial"/>
          <w:sz w:val="24"/>
        </w:rPr>
      </w:pPr>
    </w:p>
    <w:tbl>
      <w:tblPr>
        <w:tblStyle w:val="TableGrid"/>
        <w:tblW w:w="2268" w:type="dxa"/>
        <w:tblInd w:w="-5" w:type="dxa"/>
        <w:tblLayout w:type="fixed"/>
        <w:tblLook w:val="04A0" w:firstRow="1" w:lastRow="0" w:firstColumn="1" w:lastColumn="0" w:noHBand="0" w:noVBand="1"/>
      </w:tblPr>
      <w:tblGrid>
        <w:gridCol w:w="2268"/>
      </w:tblGrid>
      <w:tr w:rsidR="00AD0FA6" w:rsidRPr="00AA0224" w14:paraId="258568AF" w14:textId="77777777" w:rsidTr="00983BF7">
        <w:trPr>
          <w:trHeight w:val="397"/>
          <w:tblHeader/>
        </w:trPr>
        <w:tc>
          <w:tcPr>
            <w:tcW w:w="2268" w:type="dxa"/>
            <w:tcBorders>
              <w:top w:val="single" w:sz="4" w:space="0" w:color="auto"/>
            </w:tcBorders>
            <w:shd w:val="clear" w:color="auto" w:fill="D9D9D9" w:themeFill="background1" w:themeFillShade="D9"/>
            <w:vAlign w:val="center"/>
          </w:tcPr>
          <w:p w14:paraId="6D2AFEFF" w14:textId="53A3CCBF" w:rsidR="00AD0FA6" w:rsidRPr="00AA0224" w:rsidRDefault="00AD0FA6" w:rsidP="009660BA">
            <w:pPr>
              <w:pStyle w:val="ListParagraph"/>
              <w:ind w:left="0"/>
              <w:jc w:val="center"/>
              <w:rPr>
                <w:rFonts w:ascii="Arial" w:hAnsi="Arial" w:cs="Arial"/>
                <w:b/>
                <w:sz w:val="24"/>
                <w:szCs w:val="24"/>
              </w:rPr>
            </w:pPr>
            <w:r w:rsidRPr="00AA0224">
              <w:rPr>
                <w:rFonts w:ascii="Arial" w:hAnsi="Arial" w:cs="Arial"/>
                <w:b/>
                <w:sz w:val="24"/>
                <w:szCs w:val="24"/>
              </w:rPr>
              <w:t>Primary</w:t>
            </w:r>
            <w:r>
              <w:rPr>
                <w:rFonts w:ascii="Arial" w:hAnsi="Arial" w:cs="Arial"/>
                <w:b/>
                <w:sz w:val="24"/>
                <w:szCs w:val="24"/>
              </w:rPr>
              <w:t xml:space="preserve"> Per Pupil</w:t>
            </w:r>
          </w:p>
        </w:tc>
      </w:tr>
      <w:tr w:rsidR="00AD0FA6" w:rsidRPr="00B37D49" w14:paraId="503FC7D6" w14:textId="77777777" w:rsidTr="00983BF7">
        <w:trPr>
          <w:trHeight w:val="397"/>
        </w:trPr>
        <w:tc>
          <w:tcPr>
            <w:tcW w:w="2268" w:type="dxa"/>
            <w:vAlign w:val="center"/>
          </w:tcPr>
          <w:p w14:paraId="0A0DD8B8" w14:textId="106306A9" w:rsidR="00AD0FA6" w:rsidRPr="00B37D49" w:rsidRDefault="00AD0FA6" w:rsidP="009660BA">
            <w:pPr>
              <w:pStyle w:val="ListParagraph"/>
              <w:ind w:left="0"/>
              <w:jc w:val="center"/>
              <w:rPr>
                <w:rFonts w:ascii="Arial" w:hAnsi="Arial" w:cs="Arial"/>
                <w:sz w:val="24"/>
                <w:szCs w:val="24"/>
              </w:rPr>
            </w:pPr>
            <w:r>
              <w:rPr>
                <w:rFonts w:ascii="Arial" w:hAnsi="Arial" w:cs="Arial"/>
                <w:sz w:val="24"/>
                <w:szCs w:val="24"/>
              </w:rPr>
              <w:t>£6.32</w:t>
            </w:r>
          </w:p>
        </w:tc>
      </w:tr>
    </w:tbl>
    <w:p w14:paraId="709569BF" w14:textId="77777777" w:rsidR="00EC42D9" w:rsidRDefault="00EC42D9" w:rsidP="009660BA">
      <w:pPr>
        <w:pStyle w:val="NoSpacing"/>
        <w:rPr>
          <w:rFonts w:ascii="Arial" w:hAnsi="Arial" w:cs="Arial"/>
          <w:sz w:val="24"/>
        </w:rPr>
      </w:pPr>
    </w:p>
    <w:p w14:paraId="14E8EB19" w14:textId="1E1CA898" w:rsidR="00AB2DE5" w:rsidRPr="00D30C43" w:rsidRDefault="00AB2DE5" w:rsidP="00D5523B">
      <w:pPr>
        <w:pStyle w:val="NoSpacing"/>
        <w:rPr>
          <w:rFonts w:ascii="Arial" w:hAnsi="Arial" w:cs="Arial"/>
          <w:b/>
          <w:bCs/>
          <w:sz w:val="24"/>
        </w:rPr>
      </w:pPr>
      <w:r w:rsidRPr="00D30C43">
        <w:rPr>
          <w:rFonts w:ascii="Arial" w:hAnsi="Arial" w:cs="Arial"/>
          <w:b/>
          <w:bCs/>
          <w:sz w:val="24"/>
        </w:rPr>
        <w:t>Union Facilities</w:t>
      </w:r>
      <w:r w:rsidR="006013E3">
        <w:rPr>
          <w:rFonts w:ascii="Arial" w:hAnsi="Arial" w:cs="Arial"/>
          <w:b/>
          <w:bCs/>
          <w:sz w:val="24"/>
        </w:rPr>
        <w:t xml:space="preserve"> (Maintained Primary Schools)</w:t>
      </w:r>
    </w:p>
    <w:p w14:paraId="72C8CF5B" w14:textId="77777777" w:rsidR="00AB2DE5" w:rsidRDefault="00AB2DE5" w:rsidP="00D5523B">
      <w:pPr>
        <w:pStyle w:val="NoSpacing"/>
        <w:rPr>
          <w:rFonts w:ascii="Arial" w:hAnsi="Arial" w:cs="Arial"/>
          <w:sz w:val="24"/>
        </w:rPr>
      </w:pPr>
    </w:p>
    <w:p w14:paraId="025B48AB" w14:textId="7401C22E" w:rsidR="00471D6C" w:rsidRDefault="00D30C43" w:rsidP="00D5523B">
      <w:pPr>
        <w:pStyle w:val="NoSpacing"/>
        <w:rPr>
          <w:rFonts w:ascii="Arial" w:hAnsi="Arial" w:cs="Arial"/>
          <w:sz w:val="24"/>
        </w:rPr>
      </w:pPr>
      <w:r w:rsidRPr="00D30C43">
        <w:rPr>
          <w:rFonts w:ascii="Arial" w:hAnsi="Arial" w:cs="Arial"/>
          <w:sz w:val="24"/>
        </w:rPr>
        <w:t>LA facilities time allows teaching unions to provide Gloucestershire schools</w:t>
      </w:r>
      <w:r>
        <w:rPr>
          <w:rFonts w:ascii="Arial" w:hAnsi="Arial" w:cs="Arial"/>
          <w:sz w:val="24"/>
        </w:rPr>
        <w:t xml:space="preserve"> </w:t>
      </w:r>
      <w:r w:rsidRPr="00D30C43">
        <w:rPr>
          <w:rFonts w:ascii="Arial" w:hAnsi="Arial" w:cs="Arial"/>
          <w:sz w:val="24"/>
        </w:rPr>
        <w:t>access to effective statutory and collective consultation, bargaining and individual</w:t>
      </w:r>
      <w:r>
        <w:rPr>
          <w:rFonts w:ascii="Arial" w:hAnsi="Arial" w:cs="Arial"/>
          <w:sz w:val="24"/>
        </w:rPr>
        <w:t xml:space="preserve"> </w:t>
      </w:r>
      <w:r w:rsidRPr="00D30C43">
        <w:rPr>
          <w:rFonts w:ascii="Arial" w:hAnsi="Arial" w:cs="Arial"/>
          <w:sz w:val="24"/>
        </w:rPr>
        <w:t>representation from trained and accredited local teaching union officials.</w:t>
      </w:r>
    </w:p>
    <w:p w14:paraId="6A69DFEF" w14:textId="77777777" w:rsidR="00D30C43" w:rsidRPr="00D30C43" w:rsidRDefault="00D30C43" w:rsidP="00D5523B">
      <w:pPr>
        <w:pStyle w:val="NoSpacing"/>
        <w:rPr>
          <w:rFonts w:ascii="Arial" w:hAnsi="Arial" w:cs="Arial"/>
          <w:sz w:val="24"/>
        </w:rPr>
      </w:pPr>
    </w:p>
    <w:p w14:paraId="39093EF3" w14:textId="5265B543" w:rsidR="00AB2DE5" w:rsidRDefault="00D30C43" w:rsidP="00D5523B">
      <w:pPr>
        <w:pStyle w:val="NoSpacing"/>
        <w:rPr>
          <w:rFonts w:ascii="Arial" w:hAnsi="Arial" w:cs="Arial"/>
          <w:sz w:val="24"/>
        </w:rPr>
      </w:pPr>
      <w:r w:rsidRPr="00D30C43">
        <w:rPr>
          <w:rFonts w:ascii="Arial" w:hAnsi="Arial" w:cs="Arial"/>
          <w:sz w:val="24"/>
        </w:rPr>
        <w:t>Consequently, school leaders and managers also have access to a valuable</w:t>
      </w:r>
      <w:r>
        <w:rPr>
          <w:rFonts w:ascii="Arial" w:hAnsi="Arial" w:cs="Arial"/>
          <w:sz w:val="24"/>
        </w:rPr>
        <w:t xml:space="preserve"> </w:t>
      </w:r>
      <w:r w:rsidRPr="00D30C43">
        <w:rPr>
          <w:rFonts w:ascii="Arial" w:hAnsi="Arial" w:cs="Arial"/>
          <w:sz w:val="24"/>
        </w:rPr>
        <w:t>resource in the resolution of workplace issues and disputes</w:t>
      </w:r>
      <w:r w:rsidR="009C719D">
        <w:rPr>
          <w:rFonts w:ascii="Arial" w:hAnsi="Arial" w:cs="Arial"/>
          <w:sz w:val="24"/>
        </w:rPr>
        <w:t>.</w:t>
      </w:r>
    </w:p>
    <w:p w14:paraId="2F89FB6A" w14:textId="77777777" w:rsidR="009C719D" w:rsidRDefault="009C719D" w:rsidP="00D5523B">
      <w:pPr>
        <w:pStyle w:val="NoSpacing"/>
        <w:rPr>
          <w:rFonts w:ascii="Arial" w:hAnsi="Arial" w:cs="Arial"/>
          <w:sz w:val="24"/>
        </w:rPr>
      </w:pPr>
    </w:p>
    <w:tbl>
      <w:tblPr>
        <w:tblStyle w:val="TableGrid"/>
        <w:tblW w:w="2268" w:type="dxa"/>
        <w:tblInd w:w="-5" w:type="dxa"/>
        <w:tblLayout w:type="fixed"/>
        <w:tblLook w:val="04A0" w:firstRow="1" w:lastRow="0" w:firstColumn="1" w:lastColumn="0" w:noHBand="0" w:noVBand="1"/>
      </w:tblPr>
      <w:tblGrid>
        <w:gridCol w:w="2268"/>
      </w:tblGrid>
      <w:tr w:rsidR="00D93F46" w:rsidRPr="00AA0224" w14:paraId="2BA49B67" w14:textId="77777777" w:rsidTr="005B6853">
        <w:trPr>
          <w:trHeight w:val="397"/>
          <w:tblHeader/>
        </w:trPr>
        <w:tc>
          <w:tcPr>
            <w:tcW w:w="2268" w:type="dxa"/>
            <w:tcBorders>
              <w:top w:val="single" w:sz="4" w:space="0" w:color="auto"/>
            </w:tcBorders>
            <w:shd w:val="clear" w:color="auto" w:fill="D9D9D9" w:themeFill="background1" w:themeFillShade="D9"/>
            <w:vAlign w:val="center"/>
          </w:tcPr>
          <w:p w14:paraId="60189F50" w14:textId="77777777" w:rsidR="00D93F46" w:rsidRPr="00AA0224" w:rsidRDefault="00D93F46" w:rsidP="00D5523B">
            <w:pPr>
              <w:pStyle w:val="ListParagraph"/>
              <w:ind w:left="0"/>
              <w:jc w:val="center"/>
              <w:rPr>
                <w:rFonts w:ascii="Arial" w:hAnsi="Arial" w:cs="Arial"/>
                <w:b/>
                <w:sz w:val="24"/>
                <w:szCs w:val="24"/>
              </w:rPr>
            </w:pPr>
            <w:r w:rsidRPr="00AA0224">
              <w:rPr>
                <w:rFonts w:ascii="Arial" w:hAnsi="Arial" w:cs="Arial"/>
                <w:b/>
                <w:sz w:val="24"/>
                <w:szCs w:val="24"/>
              </w:rPr>
              <w:t>Primary</w:t>
            </w:r>
            <w:r>
              <w:rPr>
                <w:rFonts w:ascii="Arial" w:hAnsi="Arial" w:cs="Arial"/>
                <w:b/>
                <w:sz w:val="24"/>
                <w:szCs w:val="24"/>
              </w:rPr>
              <w:t xml:space="preserve"> Per Pupil</w:t>
            </w:r>
          </w:p>
        </w:tc>
      </w:tr>
      <w:tr w:rsidR="00D93F46" w:rsidRPr="00B37D49" w14:paraId="138A3410" w14:textId="77777777" w:rsidTr="005B6853">
        <w:trPr>
          <w:trHeight w:val="397"/>
        </w:trPr>
        <w:tc>
          <w:tcPr>
            <w:tcW w:w="2268" w:type="dxa"/>
            <w:vAlign w:val="center"/>
          </w:tcPr>
          <w:p w14:paraId="64EA8200" w14:textId="6A54D601" w:rsidR="00D93F46" w:rsidRPr="00B37D49" w:rsidRDefault="00D93F46" w:rsidP="00D5523B">
            <w:pPr>
              <w:pStyle w:val="ListParagraph"/>
              <w:ind w:left="0"/>
              <w:jc w:val="center"/>
              <w:rPr>
                <w:rFonts w:ascii="Arial" w:hAnsi="Arial" w:cs="Arial"/>
                <w:sz w:val="24"/>
                <w:szCs w:val="24"/>
              </w:rPr>
            </w:pPr>
            <w:r>
              <w:rPr>
                <w:rFonts w:ascii="Arial" w:hAnsi="Arial" w:cs="Arial"/>
                <w:sz w:val="24"/>
                <w:szCs w:val="24"/>
              </w:rPr>
              <w:t>£3.05</w:t>
            </w:r>
          </w:p>
        </w:tc>
      </w:tr>
    </w:tbl>
    <w:p w14:paraId="7DF325CE" w14:textId="36E1D4B6" w:rsidR="007A751A" w:rsidRDefault="007A751A" w:rsidP="005B6853">
      <w:pPr>
        <w:pStyle w:val="NoSpacing"/>
      </w:pPr>
    </w:p>
    <w:p w14:paraId="169E408E" w14:textId="77777777" w:rsidR="000F5DDF" w:rsidRDefault="006C4A82" w:rsidP="005B6853">
      <w:pPr>
        <w:pStyle w:val="Heading1"/>
        <w:numPr>
          <w:ilvl w:val="0"/>
          <w:numId w:val="15"/>
        </w:numPr>
        <w:spacing w:before="240" w:line="240" w:lineRule="auto"/>
        <w:ind w:left="357"/>
        <w:contextualSpacing/>
        <w:rPr>
          <w:rFonts w:ascii="Arial" w:hAnsi="Arial" w:cs="Arial"/>
          <w:color w:val="1F497D" w:themeColor="text2"/>
        </w:rPr>
      </w:pPr>
      <w:bookmarkStart w:id="7" w:name="_Toc222471255"/>
      <w:r w:rsidRPr="3B954121">
        <w:rPr>
          <w:rFonts w:ascii="Arial" w:hAnsi="Arial" w:cs="Arial"/>
          <w:color w:val="1F497D" w:themeColor="text2"/>
        </w:rPr>
        <w:t>C</w:t>
      </w:r>
      <w:r w:rsidR="00D35680" w:rsidRPr="3B954121">
        <w:rPr>
          <w:rFonts w:ascii="Arial" w:hAnsi="Arial" w:cs="Arial"/>
          <w:color w:val="1F497D" w:themeColor="text2"/>
        </w:rPr>
        <w:t>opyright Licences</w:t>
      </w:r>
      <w:bookmarkEnd w:id="7"/>
    </w:p>
    <w:p w14:paraId="34D4192D" w14:textId="624F4887" w:rsidR="0055288D" w:rsidRPr="000F5DDF" w:rsidRDefault="006C4A82" w:rsidP="00D5523B">
      <w:pPr>
        <w:pStyle w:val="Heading1"/>
        <w:spacing w:before="240" w:line="240" w:lineRule="auto"/>
        <w:ind w:left="357"/>
        <w:contextualSpacing/>
        <w:rPr>
          <w:rFonts w:ascii="Arial" w:hAnsi="Arial" w:cs="Arial"/>
          <w:color w:val="1F497D" w:themeColor="text2"/>
        </w:rPr>
      </w:pPr>
      <w:r w:rsidRPr="000F5DDF">
        <w:rPr>
          <w:rFonts w:ascii="Arial" w:hAnsi="Arial" w:cs="Arial"/>
          <w:color w:val="1F497D" w:themeColor="text2"/>
        </w:rPr>
        <w:t xml:space="preserve"> </w:t>
      </w:r>
    </w:p>
    <w:p w14:paraId="0F77565E" w14:textId="25E2A5A2" w:rsidR="0055288D" w:rsidRPr="00E22374" w:rsidRDefault="0055288D" w:rsidP="00D5523B">
      <w:pPr>
        <w:spacing w:line="240" w:lineRule="auto"/>
        <w:rPr>
          <w:rFonts w:ascii="Arial" w:hAnsi="Arial" w:cs="Arial"/>
          <w:sz w:val="24"/>
        </w:rPr>
      </w:pPr>
      <w:r w:rsidRPr="00E22374">
        <w:rPr>
          <w:rFonts w:ascii="Arial" w:hAnsi="Arial" w:cs="Arial"/>
          <w:sz w:val="24"/>
        </w:rPr>
        <w:t>The Department for Education (DfE) buys copyright licences for all state-funded schools in England – covering schools for almost all their copyright requirements.</w:t>
      </w:r>
    </w:p>
    <w:p w14:paraId="7038FFC1" w14:textId="77777777" w:rsidR="0055288D" w:rsidRPr="0030161A" w:rsidRDefault="0055288D" w:rsidP="00D5523B">
      <w:pPr>
        <w:pStyle w:val="NoSpacing"/>
        <w:rPr>
          <w:rFonts w:ascii="Arial" w:hAnsi="Arial" w:cs="Arial"/>
          <w:sz w:val="24"/>
        </w:rPr>
      </w:pPr>
      <w:r w:rsidRPr="0030161A">
        <w:rPr>
          <w:rFonts w:ascii="Arial" w:hAnsi="Arial" w:cs="Arial"/>
          <w:sz w:val="24"/>
        </w:rPr>
        <w:t>Purchasing these licences directly means that DfE can save schools money and the administrative time involved in applying for many different licences.</w:t>
      </w:r>
    </w:p>
    <w:p w14:paraId="55B88460" w14:textId="77777777" w:rsidR="0055288D" w:rsidRPr="0030161A" w:rsidRDefault="0055288D" w:rsidP="00D5523B">
      <w:pPr>
        <w:pStyle w:val="NoSpacing"/>
        <w:ind w:left="360"/>
        <w:rPr>
          <w:rFonts w:ascii="Arial" w:hAnsi="Arial" w:cs="Arial"/>
          <w:sz w:val="24"/>
        </w:rPr>
      </w:pPr>
    </w:p>
    <w:p w14:paraId="22BB3B0E" w14:textId="77777777" w:rsidR="0055288D" w:rsidRPr="0030161A" w:rsidRDefault="0055288D" w:rsidP="00D5523B">
      <w:pPr>
        <w:pStyle w:val="NoSpacing"/>
        <w:rPr>
          <w:rFonts w:ascii="Arial" w:hAnsi="Arial" w:cs="Arial"/>
          <w:sz w:val="24"/>
        </w:rPr>
      </w:pPr>
      <w:r w:rsidRPr="0030161A">
        <w:rPr>
          <w:rFonts w:ascii="Arial" w:hAnsi="Arial" w:cs="Arial"/>
          <w:sz w:val="24"/>
        </w:rPr>
        <w:t>The licences mean you can copy, re-use and share content from a wide range of sources within your school for non-commercial, educational purposes.</w:t>
      </w:r>
    </w:p>
    <w:p w14:paraId="2B42FC78" w14:textId="77777777" w:rsidR="0055288D" w:rsidRPr="0030161A" w:rsidRDefault="0055288D" w:rsidP="00D5523B">
      <w:pPr>
        <w:pStyle w:val="NoSpacing"/>
        <w:rPr>
          <w:rFonts w:ascii="Arial" w:hAnsi="Arial" w:cs="Arial"/>
          <w:sz w:val="24"/>
        </w:rPr>
      </w:pPr>
      <w:r w:rsidRPr="0030161A">
        <w:rPr>
          <w:rFonts w:ascii="Arial" w:hAnsi="Arial" w:cs="Arial"/>
          <w:sz w:val="24"/>
        </w:rPr>
        <w:t>Your school leadership (head and chair of governors) needs to make sure that:</w:t>
      </w:r>
    </w:p>
    <w:p w14:paraId="43DC6328" w14:textId="77777777" w:rsidR="0055288D" w:rsidRPr="0030161A" w:rsidRDefault="0055288D" w:rsidP="00D5523B">
      <w:pPr>
        <w:pStyle w:val="NoSpacing"/>
        <w:ind w:left="360"/>
        <w:rPr>
          <w:rFonts w:ascii="Arial" w:hAnsi="Arial" w:cs="Arial"/>
          <w:sz w:val="24"/>
        </w:rPr>
      </w:pPr>
    </w:p>
    <w:p w14:paraId="78D4CE05" w14:textId="77777777" w:rsidR="0055288D" w:rsidRPr="0030161A" w:rsidRDefault="0055288D" w:rsidP="00D5523B">
      <w:pPr>
        <w:pStyle w:val="NoSpacing"/>
        <w:numPr>
          <w:ilvl w:val="0"/>
          <w:numId w:val="31"/>
        </w:numPr>
        <w:ind w:left="1134" w:hanging="567"/>
        <w:rPr>
          <w:rFonts w:ascii="Arial" w:hAnsi="Arial" w:cs="Arial"/>
          <w:sz w:val="24"/>
        </w:rPr>
      </w:pPr>
      <w:r w:rsidRPr="0030161A">
        <w:rPr>
          <w:rFonts w:ascii="Arial" w:hAnsi="Arial" w:cs="Arial"/>
          <w:sz w:val="24"/>
        </w:rPr>
        <w:lastRenderedPageBreak/>
        <w:t>all intended activities are covered adequately by the licences</w:t>
      </w:r>
    </w:p>
    <w:p w14:paraId="16F08384" w14:textId="3837E858" w:rsidR="0055288D" w:rsidRDefault="0055288D" w:rsidP="00D5523B">
      <w:pPr>
        <w:pStyle w:val="NoSpacing"/>
        <w:numPr>
          <w:ilvl w:val="0"/>
          <w:numId w:val="31"/>
        </w:numPr>
        <w:ind w:left="1134" w:hanging="567"/>
        <w:rPr>
          <w:rFonts w:ascii="Arial" w:hAnsi="Arial" w:cs="Arial"/>
          <w:sz w:val="24"/>
        </w:rPr>
      </w:pPr>
      <w:r w:rsidRPr="005D1C2B">
        <w:rPr>
          <w:rFonts w:ascii="Arial" w:hAnsi="Arial" w:cs="Arial"/>
          <w:sz w:val="24"/>
        </w:rPr>
        <w:t>all staff follow the terms and conditions</w:t>
      </w:r>
    </w:p>
    <w:p w14:paraId="53D9484A" w14:textId="51B7344B" w:rsidR="00543DD0" w:rsidRDefault="00543DD0" w:rsidP="00D5523B">
      <w:pPr>
        <w:pStyle w:val="NoSpacing"/>
        <w:rPr>
          <w:rFonts w:ascii="Arial" w:hAnsi="Arial" w:cs="Arial"/>
          <w:sz w:val="24"/>
        </w:rPr>
      </w:pPr>
    </w:p>
    <w:p w14:paraId="7C5E1349" w14:textId="3698160B" w:rsidR="00543DD0" w:rsidRDefault="004D4017" w:rsidP="00D5523B">
      <w:pPr>
        <w:pStyle w:val="NoSpacing"/>
        <w:rPr>
          <w:rFonts w:ascii="Arial" w:hAnsi="Arial" w:cs="Arial"/>
          <w:sz w:val="24"/>
        </w:rPr>
      </w:pPr>
      <w:r w:rsidRPr="21DFFC41">
        <w:rPr>
          <w:rFonts w:ascii="Arial" w:hAnsi="Arial" w:cs="Arial"/>
          <w:sz w:val="24"/>
          <w:szCs w:val="24"/>
        </w:rPr>
        <w:t>The local authority covers the copyright licences centrally</w:t>
      </w:r>
      <w:r w:rsidR="00543DD0" w:rsidRPr="21DFFC41">
        <w:rPr>
          <w:rFonts w:ascii="Arial" w:hAnsi="Arial" w:cs="Arial"/>
          <w:sz w:val="24"/>
          <w:szCs w:val="24"/>
        </w:rPr>
        <w:t>.</w:t>
      </w:r>
    </w:p>
    <w:p w14:paraId="2E176585" w14:textId="435F6B09" w:rsidR="00A336B6" w:rsidRDefault="00A336B6" w:rsidP="00D5523B">
      <w:pPr>
        <w:pStyle w:val="NoSpacing"/>
        <w:rPr>
          <w:rFonts w:ascii="Arial" w:hAnsi="Arial" w:cs="Arial"/>
          <w:sz w:val="24"/>
          <w:szCs w:val="24"/>
        </w:rPr>
      </w:pPr>
    </w:p>
    <w:p w14:paraId="22A4BE70" w14:textId="5164945A" w:rsidR="00A336B6" w:rsidRDefault="043F38EC" w:rsidP="009422F3">
      <w:pPr>
        <w:pStyle w:val="NoSpacing"/>
        <w:rPr>
          <w:rFonts w:ascii="Arial" w:hAnsi="Arial" w:cs="Arial"/>
          <w:sz w:val="24"/>
          <w:szCs w:val="24"/>
        </w:rPr>
      </w:pPr>
      <w:r w:rsidRPr="3B954121">
        <w:rPr>
          <w:rFonts w:ascii="Arial" w:hAnsi="Arial" w:cs="Arial"/>
          <w:sz w:val="24"/>
          <w:szCs w:val="24"/>
        </w:rPr>
        <w:t>The copyright licence fees would usually have been announced in December, but this year the DfE are still in negotiations for new agreements with some of the copyright management organisations which is likely to stretch into the new year.</w:t>
      </w:r>
      <w:r w:rsidR="0104D12D" w:rsidRPr="3B954121">
        <w:rPr>
          <w:rFonts w:ascii="Arial" w:hAnsi="Arial" w:cs="Arial"/>
          <w:sz w:val="24"/>
          <w:szCs w:val="24"/>
        </w:rPr>
        <w:t xml:space="preserve"> </w:t>
      </w:r>
      <w:r w:rsidR="4E2BE4DD" w:rsidRPr="3B954121">
        <w:rPr>
          <w:rFonts w:ascii="Arial" w:hAnsi="Arial" w:cs="Arial"/>
          <w:sz w:val="24"/>
          <w:szCs w:val="24"/>
        </w:rPr>
        <w:t>For m</w:t>
      </w:r>
      <w:r w:rsidR="0055288D" w:rsidRPr="3B954121">
        <w:rPr>
          <w:rFonts w:ascii="Arial" w:hAnsi="Arial" w:cs="Arial"/>
          <w:sz w:val="24"/>
          <w:szCs w:val="24"/>
        </w:rPr>
        <w:t xml:space="preserve">ore information on what content you can use, and how to gain other permissions please refer to: </w:t>
      </w:r>
      <w:hyperlink r:id="rId18">
        <w:r w:rsidR="0055288D" w:rsidRPr="3B954121">
          <w:rPr>
            <w:rStyle w:val="Hyperlink"/>
            <w:rFonts w:ascii="Arial" w:hAnsi="Arial" w:cs="Arial"/>
            <w:sz w:val="24"/>
            <w:szCs w:val="24"/>
          </w:rPr>
          <w:t>https://www.gov.uk/guidance/copyright-licences-information-for-schools</w:t>
        </w:r>
        <w:r w:rsidR="2D7E5776" w:rsidRPr="3B954121">
          <w:rPr>
            <w:rStyle w:val="Hyperlink"/>
            <w:rFonts w:ascii="Arial" w:hAnsi="Arial" w:cs="Arial"/>
            <w:sz w:val="24"/>
            <w:szCs w:val="24"/>
          </w:rPr>
          <w:t>.</w:t>
        </w:r>
      </w:hyperlink>
      <w:r w:rsidR="2D7E5776" w:rsidRPr="3B954121">
        <w:rPr>
          <w:sz w:val="24"/>
          <w:szCs w:val="24"/>
        </w:rPr>
        <w:t xml:space="preserve"> </w:t>
      </w:r>
      <w:r w:rsidR="2D7E5776" w:rsidRPr="00DE0F36">
        <w:rPr>
          <w:rFonts w:ascii="Arial" w:hAnsi="Arial" w:cs="Arial"/>
          <w:sz w:val="24"/>
          <w:szCs w:val="24"/>
        </w:rPr>
        <w:t>Information available via this DfE website</w:t>
      </w:r>
      <w:r w:rsidR="786C374D" w:rsidRPr="00DE0F36">
        <w:rPr>
          <w:rFonts w:ascii="Arial" w:hAnsi="Arial" w:cs="Arial"/>
          <w:sz w:val="24"/>
          <w:szCs w:val="24"/>
        </w:rPr>
        <w:t xml:space="preserve"> will be updated further w</w:t>
      </w:r>
      <w:r w:rsidR="2D7E5776" w:rsidRPr="00DE0F36">
        <w:rPr>
          <w:rFonts w:ascii="Arial" w:hAnsi="Arial" w:cs="Arial"/>
          <w:sz w:val="24"/>
          <w:szCs w:val="24"/>
        </w:rPr>
        <w:t>hen the</w:t>
      </w:r>
      <w:r w:rsidR="75B86C28" w:rsidRPr="00DE0F36">
        <w:rPr>
          <w:rFonts w:ascii="Arial" w:hAnsi="Arial" w:cs="Arial"/>
          <w:sz w:val="24"/>
          <w:szCs w:val="24"/>
        </w:rPr>
        <w:t xml:space="preserve"> DfE</w:t>
      </w:r>
      <w:r w:rsidR="2D7E5776" w:rsidRPr="00DE0F36">
        <w:rPr>
          <w:rFonts w:ascii="Arial" w:hAnsi="Arial" w:cs="Arial"/>
          <w:sz w:val="24"/>
          <w:szCs w:val="24"/>
        </w:rPr>
        <w:t xml:space="preserve"> have completed those negotiation</w:t>
      </w:r>
      <w:r w:rsidR="3CF380C1" w:rsidRPr="00DE0F36">
        <w:rPr>
          <w:rFonts w:ascii="Arial" w:hAnsi="Arial" w:cs="Arial"/>
          <w:sz w:val="24"/>
          <w:szCs w:val="24"/>
        </w:rPr>
        <w:t>s.</w:t>
      </w:r>
    </w:p>
    <w:p w14:paraId="7191AF9D" w14:textId="77777777" w:rsidR="00B43312" w:rsidRPr="00D273A2" w:rsidRDefault="00B43312" w:rsidP="009422F3">
      <w:pPr>
        <w:pStyle w:val="Heading1"/>
        <w:numPr>
          <w:ilvl w:val="0"/>
          <w:numId w:val="15"/>
        </w:numPr>
        <w:spacing w:line="240" w:lineRule="auto"/>
        <w:rPr>
          <w:rFonts w:ascii="Arial" w:hAnsi="Arial" w:cs="Arial"/>
          <w:color w:val="1F497D" w:themeColor="text2"/>
        </w:rPr>
      </w:pPr>
      <w:bookmarkStart w:id="8" w:name="_Toc222471256"/>
      <w:r w:rsidRPr="78065883">
        <w:rPr>
          <w:rFonts w:ascii="Arial" w:hAnsi="Arial" w:cs="Arial"/>
          <w:color w:val="1F497D" w:themeColor="text2"/>
        </w:rPr>
        <w:t>Growth Fund</w:t>
      </w:r>
      <w:bookmarkEnd w:id="8"/>
    </w:p>
    <w:p w14:paraId="4B2295CA" w14:textId="77777777" w:rsidR="00D16F40" w:rsidRDefault="00D16F40" w:rsidP="00D5523B">
      <w:pPr>
        <w:spacing w:line="240" w:lineRule="auto"/>
        <w:contextualSpacing/>
        <w:rPr>
          <w:rFonts w:ascii="Arial" w:hAnsi="Arial" w:cs="Arial"/>
          <w:sz w:val="24"/>
          <w:szCs w:val="24"/>
        </w:rPr>
      </w:pPr>
    </w:p>
    <w:p w14:paraId="0EC958A9" w14:textId="47B96E67" w:rsidR="003E39CD" w:rsidRDefault="00B43312" w:rsidP="00D5523B">
      <w:pPr>
        <w:spacing w:line="240" w:lineRule="auto"/>
        <w:rPr>
          <w:rFonts w:ascii="Arial" w:hAnsi="Arial" w:cs="Arial"/>
          <w:sz w:val="24"/>
          <w:szCs w:val="24"/>
        </w:rPr>
      </w:pPr>
      <w:r w:rsidRPr="78065883">
        <w:rPr>
          <w:rFonts w:ascii="Arial" w:hAnsi="Arial" w:cs="Arial"/>
          <w:sz w:val="24"/>
          <w:szCs w:val="24"/>
        </w:rPr>
        <w:t>The Growth Fund is</w:t>
      </w:r>
      <w:r w:rsidR="0055288D" w:rsidRPr="78065883">
        <w:rPr>
          <w:rFonts w:ascii="Arial" w:hAnsi="Arial" w:cs="Arial"/>
          <w:sz w:val="24"/>
          <w:szCs w:val="24"/>
        </w:rPr>
        <w:t xml:space="preserve"> part of </w:t>
      </w:r>
      <w:r w:rsidR="001257FA" w:rsidRPr="78065883">
        <w:rPr>
          <w:rFonts w:ascii="Arial" w:hAnsi="Arial" w:cs="Arial"/>
          <w:sz w:val="24"/>
          <w:szCs w:val="24"/>
        </w:rPr>
        <w:t>school’s</w:t>
      </w:r>
      <w:r w:rsidR="0055288D" w:rsidRPr="78065883">
        <w:rPr>
          <w:rFonts w:ascii="Arial" w:hAnsi="Arial" w:cs="Arial"/>
          <w:sz w:val="24"/>
          <w:szCs w:val="24"/>
        </w:rPr>
        <w:t xml:space="preserve"> block DSG</w:t>
      </w:r>
      <w:r w:rsidRPr="78065883">
        <w:rPr>
          <w:rFonts w:ascii="Arial" w:hAnsi="Arial" w:cs="Arial"/>
          <w:sz w:val="24"/>
          <w:szCs w:val="24"/>
        </w:rPr>
        <w:t xml:space="preserve"> funding retained centrally to support </w:t>
      </w:r>
      <w:r w:rsidR="0035416C" w:rsidRPr="78065883">
        <w:rPr>
          <w:rFonts w:ascii="Arial" w:hAnsi="Arial" w:cs="Arial"/>
          <w:sz w:val="24"/>
          <w:szCs w:val="24"/>
        </w:rPr>
        <w:t xml:space="preserve">new schools and </w:t>
      </w:r>
      <w:r w:rsidRPr="78065883">
        <w:rPr>
          <w:rFonts w:ascii="Arial" w:hAnsi="Arial" w:cs="Arial"/>
          <w:sz w:val="24"/>
          <w:szCs w:val="24"/>
        </w:rPr>
        <w:t xml:space="preserve">schools which are required to provide extra places </w:t>
      </w:r>
      <w:r w:rsidR="001257FA" w:rsidRPr="78065883">
        <w:rPr>
          <w:rFonts w:ascii="Arial" w:hAnsi="Arial" w:cs="Arial"/>
          <w:sz w:val="24"/>
          <w:szCs w:val="24"/>
        </w:rPr>
        <w:t>to</w:t>
      </w:r>
      <w:r w:rsidRPr="78065883">
        <w:rPr>
          <w:rFonts w:ascii="Arial" w:hAnsi="Arial" w:cs="Arial"/>
          <w:sz w:val="24"/>
          <w:szCs w:val="24"/>
        </w:rPr>
        <w:t xml:space="preserve"> meet basic need within the Authority, including pre-opening and reorganisation costs.</w:t>
      </w:r>
      <w:r w:rsidR="0055288D" w:rsidRPr="78065883">
        <w:rPr>
          <w:rFonts w:ascii="Arial" w:hAnsi="Arial" w:cs="Arial"/>
          <w:sz w:val="24"/>
          <w:szCs w:val="24"/>
        </w:rPr>
        <w:t xml:space="preserve"> The amount needed for the growth fund is agreed each year by the </w:t>
      </w:r>
      <w:r w:rsidR="001257FA" w:rsidRPr="78065883">
        <w:rPr>
          <w:rFonts w:ascii="Arial" w:hAnsi="Arial" w:cs="Arial"/>
          <w:sz w:val="24"/>
          <w:szCs w:val="24"/>
        </w:rPr>
        <w:t>school’s</w:t>
      </w:r>
      <w:r w:rsidR="0055288D" w:rsidRPr="78065883">
        <w:rPr>
          <w:rFonts w:ascii="Arial" w:hAnsi="Arial" w:cs="Arial"/>
          <w:sz w:val="24"/>
          <w:szCs w:val="24"/>
        </w:rPr>
        <w:t xml:space="preserve"> </w:t>
      </w:r>
      <w:r w:rsidR="001257FA" w:rsidRPr="78065883">
        <w:rPr>
          <w:rFonts w:ascii="Arial" w:hAnsi="Arial" w:cs="Arial"/>
          <w:sz w:val="24"/>
          <w:szCs w:val="24"/>
        </w:rPr>
        <w:t>f</w:t>
      </w:r>
      <w:r w:rsidR="0055288D" w:rsidRPr="78065883">
        <w:rPr>
          <w:rFonts w:ascii="Arial" w:hAnsi="Arial" w:cs="Arial"/>
          <w:sz w:val="24"/>
          <w:szCs w:val="24"/>
        </w:rPr>
        <w:t>orum.</w:t>
      </w:r>
    </w:p>
    <w:p w14:paraId="094F0766" w14:textId="60B306D5" w:rsidR="00B43312" w:rsidRPr="00B43312" w:rsidRDefault="00B43312" w:rsidP="00D5523B">
      <w:pPr>
        <w:spacing w:line="240" w:lineRule="auto"/>
        <w:rPr>
          <w:rFonts w:ascii="Arial" w:hAnsi="Arial" w:cs="Arial"/>
          <w:sz w:val="24"/>
          <w:szCs w:val="24"/>
        </w:rPr>
      </w:pPr>
      <w:r w:rsidRPr="00E22374">
        <w:rPr>
          <w:rFonts w:ascii="Arial" w:hAnsi="Arial" w:cs="Arial"/>
          <w:sz w:val="24"/>
          <w:szCs w:val="24"/>
        </w:rPr>
        <w:t xml:space="preserve">The </w:t>
      </w:r>
      <w:r w:rsidR="00893420">
        <w:rPr>
          <w:rFonts w:ascii="Arial" w:hAnsi="Arial" w:cs="Arial"/>
          <w:sz w:val="24"/>
          <w:szCs w:val="24"/>
        </w:rPr>
        <w:t>DfE</w:t>
      </w:r>
      <w:r w:rsidR="00255100" w:rsidRPr="00E22374">
        <w:rPr>
          <w:rFonts w:ascii="Arial" w:hAnsi="Arial" w:cs="Arial"/>
          <w:sz w:val="24"/>
          <w:szCs w:val="24"/>
        </w:rPr>
        <w:t xml:space="preserve"> is</w:t>
      </w:r>
      <w:r w:rsidRPr="00E22374">
        <w:rPr>
          <w:rFonts w:ascii="Arial" w:hAnsi="Arial" w:cs="Arial"/>
          <w:sz w:val="24"/>
          <w:szCs w:val="24"/>
        </w:rPr>
        <w:t xml:space="preserve"> very clear that the growth fund can </w:t>
      </w:r>
      <w:r w:rsidR="00C35C88" w:rsidRPr="00E22374">
        <w:rPr>
          <w:rFonts w:ascii="Arial" w:hAnsi="Arial" w:cs="Arial"/>
          <w:sz w:val="24"/>
          <w:szCs w:val="24"/>
        </w:rPr>
        <w:t>only be used for the purposes of supporting growth in pre-16 pupil numbers to meet basic need and to meet the costs of new schools.</w:t>
      </w:r>
    </w:p>
    <w:p w14:paraId="3A44B6A7" w14:textId="23AA8B1B" w:rsidR="00DE0F36" w:rsidRDefault="00102DF9" w:rsidP="009422F3">
      <w:pPr>
        <w:spacing w:line="240" w:lineRule="auto"/>
        <w:rPr>
          <w:rFonts w:ascii="Arial" w:hAnsi="Arial" w:cs="Arial"/>
          <w:sz w:val="24"/>
          <w:szCs w:val="24"/>
        </w:rPr>
      </w:pPr>
      <w:r w:rsidRPr="00E22374">
        <w:rPr>
          <w:rFonts w:ascii="Arial" w:hAnsi="Arial" w:cs="Arial"/>
          <w:sz w:val="24"/>
          <w:szCs w:val="24"/>
        </w:rPr>
        <w:t>F</w:t>
      </w:r>
      <w:r w:rsidR="00B43312" w:rsidRPr="00E22374">
        <w:rPr>
          <w:rFonts w:ascii="Arial" w:hAnsi="Arial" w:cs="Arial"/>
          <w:sz w:val="24"/>
          <w:szCs w:val="24"/>
        </w:rPr>
        <w:t>unding schools that have a significant increase in pupils not related to basic need are not compliant criterion and are disallowed under the Schools and Early Years Finance Regulations.</w:t>
      </w:r>
      <w:r w:rsidR="000B6278" w:rsidRPr="00E22374">
        <w:rPr>
          <w:rFonts w:ascii="Arial" w:hAnsi="Arial" w:cs="Arial"/>
          <w:sz w:val="24"/>
          <w:szCs w:val="24"/>
        </w:rPr>
        <w:t xml:space="preserve"> </w:t>
      </w:r>
    </w:p>
    <w:p w14:paraId="0BC2600C" w14:textId="77777777" w:rsidR="009422F3" w:rsidRPr="005D1C2B" w:rsidRDefault="009422F3" w:rsidP="009422F3">
      <w:pPr>
        <w:spacing w:after="0" w:line="240" w:lineRule="auto"/>
      </w:pPr>
    </w:p>
    <w:p w14:paraId="1E1B9E9E" w14:textId="658F3669" w:rsidR="002E7678" w:rsidRDefault="00BA432F" w:rsidP="009422F3">
      <w:pPr>
        <w:pStyle w:val="Heading1"/>
        <w:numPr>
          <w:ilvl w:val="0"/>
          <w:numId w:val="15"/>
        </w:numPr>
        <w:spacing w:before="0" w:line="240" w:lineRule="auto"/>
        <w:ind w:left="357"/>
        <w:rPr>
          <w:rFonts w:ascii="Arial" w:hAnsi="Arial" w:cs="Arial"/>
          <w:color w:val="1F497D" w:themeColor="text2"/>
        </w:rPr>
      </w:pPr>
      <w:bookmarkStart w:id="9" w:name="_Toc222471257"/>
      <w:r w:rsidRPr="3B954121">
        <w:rPr>
          <w:rFonts w:ascii="Arial" w:hAnsi="Arial" w:cs="Arial"/>
          <w:color w:val="1F497D" w:themeColor="text2"/>
        </w:rPr>
        <w:t>High Needs Funding</w:t>
      </w:r>
      <w:r w:rsidR="002442D8" w:rsidRPr="3B954121">
        <w:rPr>
          <w:rFonts w:ascii="Arial" w:hAnsi="Arial" w:cs="Arial"/>
          <w:color w:val="1F497D" w:themeColor="text2"/>
        </w:rPr>
        <w:t xml:space="preserve"> – </w:t>
      </w:r>
      <w:r w:rsidR="005963C2" w:rsidRPr="3B954121">
        <w:rPr>
          <w:rFonts w:ascii="Arial" w:hAnsi="Arial" w:cs="Arial"/>
          <w:color w:val="1F497D" w:themeColor="text2"/>
        </w:rPr>
        <w:t>Mainstream S</w:t>
      </w:r>
      <w:r w:rsidR="002442D8" w:rsidRPr="3B954121">
        <w:rPr>
          <w:rFonts w:ascii="Arial" w:hAnsi="Arial" w:cs="Arial"/>
          <w:color w:val="1F497D" w:themeColor="text2"/>
        </w:rPr>
        <w:t>ettings</w:t>
      </w:r>
      <w:bookmarkEnd w:id="9"/>
    </w:p>
    <w:p w14:paraId="21285106" w14:textId="77777777" w:rsidR="00DB3409" w:rsidRDefault="00DB3409" w:rsidP="00DB3409">
      <w:pPr>
        <w:spacing w:after="0"/>
        <w:rPr>
          <w:rFonts w:ascii="Arial" w:hAnsi="Arial" w:cs="Arial"/>
          <w:sz w:val="24"/>
          <w:szCs w:val="24"/>
        </w:rPr>
      </w:pPr>
    </w:p>
    <w:p w14:paraId="36EB02B6" w14:textId="6E883012" w:rsidR="00C313B5" w:rsidRPr="00DB3409" w:rsidRDefault="00DB3409" w:rsidP="00DB3409">
      <w:pPr>
        <w:spacing w:after="0"/>
        <w:rPr>
          <w:rFonts w:ascii="Arial" w:hAnsi="Arial" w:cs="Arial"/>
          <w:sz w:val="24"/>
          <w:szCs w:val="24"/>
        </w:rPr>
      </w:pPr>
      <w:r w:rsidRPr="00DB3409">
        <w:rPr>
          <w:rFonts w:ascii="Arial" w:hAnsi="Arial" w:cs="Arial"/>
          <w:sz w:val="24"/>
          <w:szCs w:val="24"/>
        </w:rPr>
        <w:t>High needs funding allocations</w:t>
      </w:r>
      <w:r>
        <w:rPr>
          <w:rFonts w:ascii="Arial" w:hAnsi="Arial" w:cs="Arial"/>
          <w:sz w:val="24"/>
          <w:szCs w:val="24"/>
        </w:rPr>
        <w:t xml:space="preserve"> for mainstream settings</w:t>
      </w:r>
      <w:r w:rsidRPr="00DB3409">
        <w:rPr>
          <w:rFonts w:ascii="Arial" w:hAnsi="Arial" w:cs="Arial"/>
          <w:sz w:val="24"/>
          <w:szCs w:val="24"/>
        </w:rPr>
        <w:t xml:space="preserve"> will be published in April.</w:t>
      </w:r>
    </w:p>
    <w:p w14:paraId="15381AEC" w14:textId="246D8E60" w:rsidR="00C66752" w:rsidRDefault="00C66752" w:rsidP="00DB3409">
      <w:pPr>
        <w:pStyle w:val="NoSpacing"/>
      </w:pPr>
    </w:p>
    <w:p w14:paraId="445749AB" w14:textId="270F490C" w:rsidR="00C66752" w:rsidRDefault="00C66752" w:rsidP="00DB3409">
      <w:pPr>
        <w:pStyle w:val="NormalWeb"/>
        <w:shd w:val="clear" w:color="auto" w:fill="FFFFFF"/>
        <w:spacing w:before="0" w:beforeAutospacing="0" w:after="0" w:afterAutospacing="0"/>
        <w:textAlignment w:val="baseline"/>
        <w:rPr>
          <w:rFonts w:ascii="Arial" w:hAnsi="Arial" w:cs="Arial"/>
          <w:color w:val="333333"/>
        </w:rPr>
      </w:pPr>
      <w:r w:rsidRPr="00C66752">
        <w:rPr>
          <w:rFonts w:ascii="Arial" w:hAnsi="Arial" w:cs="Arial"/>
          <w:color w:val="333333"/>
        </w:rPr>
        <w:t xml:space="preserve">Funding is allocated to mainstream schools and academies under three main </w:t>
      </w:r>
      <w:r w:rsidR="001E6C50">
        <w:rPr>
          <w:rFonts w:ascii="Arial" w:hAnsi="Arial" w:cs="Arial"/>
          <w:color w:val="333333"/>
        </w:rPr>
        <w:t>elements</w:t>
      </w:r>
      <w:r w:rsidRPr="00C66752">
        <w:rPr>
          <w:rFonts w:ascii="Arial" w:hAnsi="Arial" w:cs="Arial"/>
          <w:color w:val="333333"/>
        </w:rPr>
        <w:t>:</w:t>
      </w:r>
    </w:p>
    <w:p w14:paraId="731436FB" w14:textId="77777777" w:rsidR="00DB3409" w:rsidRPr="00C66752" w:rsidRDefault="00DB3409" w:rsidP="00DB3409">
      <w:pPr>
        <w:pStyle w:val="NormalWeb"/>
        <w:shd w:val="clear" w:color="auto" w:fill="FFFFFF"/>
        <w:spacing w:before="0" w:beforeAutospacing="0" w:after="0" w:afterAutospacing="0"/>
        <w:textAlignment w:val="baseline"/>
        <w:rPr>
          <w:rFonts w:ascii="Arial" w:hAnsi="Arial" w:cs="Arial"/>
          <w:color w:val="333333"/>
        </w:rPr>
      </w:pPr>
    </w:p>
    <w:p w14:paraId="63B1EB7A" w14:textId="48DE933F" w:rsidR="00C66752" w:rsidRPr="00C66752" w:rsidRDefault="001E6C50" w:rsidP="00D5523B">
      <w:pPr>
        <w:pStyle w:val="NormalWeb"/>
        <w:shd w:val="clear" w:color="auto" w:fill="FFFFFF"/>
        <w:spacing w:before="0" w:beforeAutospacing="0" w:after="0" w:afterAutospacing="0"/>
        <w:textAlignment w:val="baseline"/>
        <w:rPr>
          <w:rFonts w:ascii="Arial" w:eastAsiaTheme="minorEastAsia" w:hAnsi="Arial" w:cs="Arial"/>
          <w:b/>
        </w:rPr>
      </w:pPr>
      <w:r>
        <w:rPr>
          <w:rFonts w:ascii="Arial" w:eastAsiaTheme="minorEastAsia" w:hAnsi="Arial" w:cs="Arial"/>
          <w:b/>
        </w:rPr>
        <w:t xml:space="preserve">Element 1 - </w:t>
      </w:r>
      <w:r w:rsidR="00C66752" w:rsidRPr="00C66752">
        <w:rPr>
          <w:rFonts w:ascii="Arial" w:eastAsiaTheme="minorEastAsia" w:hAnsi="Arial" w:cs="Arial"/>
          <w:b/>
        </w:rPr>
        <w:t>The Basic Entitlement per pupil (sometimes referred to as the Age Weighted Pupil Unit (AWPU):</w:t>
      </w:r>
    </w:p>
    <w:p w14:paraId="2AC443FA" w14:textId="77777777" w:rsidR="00C66752" w:rsidRPr="00C66752" w:rsidRDefault="00C66752" w:rsidP="00D5523B">
      <w:pPr>
        <w:pStyle w:val="NormalWeb"/>
        <w:shd w:val="clear" w:color="auto" w:fill="FFFFFF"/>
        <w:spacing w:before="0" w:beforeAutospacing="0" w:after="0" w:afterAutospacing="0"/>
        <w:textAlignment w:val="baseline"/>
        <w:rPr>
          <w:rFonts w:ascii="Arial" w:eastAsiaTheme="minorEastAsia" w:hAnsi="Arial" w:cs="Arial"/>
          <w:bCs/>
        </w:rPr>
      </w:pPr>
    </w:p>
    <w:p w14:paraId="3BA396AA" w14:textId="583248D8" w:rsidR="00C66752" w:rsidRPr="00C66752" w:rsidRDefault="00C66752" w:rsidP="00D5523B">
      <w:pPr>
        <w:pStyle w:val="NormalWeb"/>
        <w:shd w:val="clear" w:color="auto" w:fill="FFFFFF"/>
        <w:spacing w:before="0" w:beforeAutospacing="0" w:after="378" w:afterAutospacing="0"/>
        <w:textAlignment w:val="baseline"/>
        <w:rPr>
          <w:rFonts w:ascii="Arial" w:eastAsiaTheme="minorEastAsia" w:hAnsi="Arial" w:cs="Arial"/>
          <w:bCs/>
        </w:rPr>
      </w:pPr>
      <w:r w:rsidRPr="00C66752">
        <w:rPr>
          <w:rFonts w:ascii="Arial" w:eastAsiaTheme="minorEastAsia" w:hAnsi="Arial" w:cs="Arial"/>
          <w:bCs/>
        </w:rPr>
        <w:t>Schools get most of their funding based on the total number of pupils in the school. Every pupil in a school attracts an amount of money. The amount varies from one authority to another. There is usually more funding for each pupil in a secondary school than in a primary school. This is the core budget for each school, and it is used to make general provision for all pupils in the school including pupils with SEN.</w:t>
      </w:r>
    </w:p>
    <w:p w14:paraId="0DD7CE74" w14:textId="0C9DE168" w:rsidR="00C66752" w:rsidRPr="00C66752" w:rsidRDefault="001E6C50" w:rsidP="00D5523B">
      <w:pPr>
        <w:pStyle w:val="NormalWeb"/>
        <w:shd w:val="clear" w:color="auto" w:fill="FFFFFF"/>
        <w:spacing w:before="0" w:beforeAutospacing="0" w:after="0" w:afterAutospacing="0"/>
        <w:textAlignment w:val="baseline"/>
        <w:rPr>
          <w:rFonts w:ascii="Arial" w:eastAsiaTheme="minorEastAsia" w:hAnsi="Arial" w:cs="Arial"/>
          <w:b/>
        </w:rPr>
      </w:pPr>
      <w:r>
        <w:rPr>
          <w:rFonts w:ascii="Arial" w:eastAsiaTheme="minorEastAsia" w:hAnsi="Arial" w:cs="Arial"/>
          <w:b/>
        </w:rPr>
        <w:t xml:space="preserve">Element 2 - </w:t>
      </w:r>
      <w:r w:rsidR="00C66752" w:rsidRPr="00C66752">
        <w:rPr>
          <w:rFonts w:ascii="Arial" w:eastAsiaTheme="minorEastAsia" w:hAnsi="Arial" w:cs="Arial"/>
          <w:b/>
        </w:rPr>
        <w:t>Additional Support Funding - The School’s Notional SEN Budget</w:t>
      </w:r>
      <w:r>
        <w:rPr>
          <w:rFonts w:ascii="Arial" w:eastAsiaTheme="minorEastAsia" w:hAnsi="Arial" w:cs="Arial"/>
          <w:b/>
        </w:rPr>
        <w:t>:</w:t>
      </w:r>
    </w:p>
    <w:p w14:paraId="67E5F235" w14:textId="77777777" w:rsidR="00C66752" w:rsidRPr="00C66752" w:rsidRDefault="00C66752" w:rsidP="00D5523B">
      <w:pPr>
        <w:pStyle w:val="NormalWeb"/>
        <w:shd w:val="clear" w:color="auto" w:fill="FFFFFF"/>
        <w:spacing w:before="0" w:beforeAutospacing="0" w:after="0" w:afterAutospacing="0"/>
        <w:textAlignment w:val="baseline"/>
        <w:rPr>
          <w:rFonts w:ascii="Arial" w:eastAsiaTheme="minorEastAsia" w:hAnsi="Arial" w:cs="Arial"/>
          <w:bCs/>
        </w:rPr>
      </w:pPr>
    </w:p>
    <w:p w14:paraId="2B17F1B0" w14:textId="77777777" w:rsidR="00C66752" w:rsidRPr="00C66752" w:rsidRDefault="00C66752" w:rsidP="00D5523B">
      <w:pPr>
        <w:pStyle w:val="NoSpacing"/>
        <w:rPr>
          <w:rFonts w:ascii="Arial" w:hAnsi="Arial" w:cs="Arial"/>
          <w:bCs/>
          <w:sz w:val="24"/>
        </w:rPr>
      </w:pPr>
      <w:r w:rsidRPr="00C66752">
        <w:rPr>
          <w:rFonts w:ascii="Arial" w:hAnsi="Arial" w:cs="Arial"/>
          <w:bCs/>
          <w:sz w:val="24"/>
        </w:rPr>
        <w:t>Within the “School Budget Share” there is a ‘notional’ sum for SEN. It is called the “notional” SEN budget because governors of schools are legally responsible for deciding how the budget share is to be spent in the best interests of all the children of the school. When funding is delegated to schools, they can spend it in the way they think is best. However, schools have a duty to identify, assess and make special educational provision for all children with SEN; and the local authority has a duty to set out what schools are expected to provide from their delegated budget.</w:t>
      </w:r>
    </w:p>
    <w:p w14:paraId="12FE46FE" w14:textId="58212262" w:rsidR="00EC5F53" w:rsidRPr="00792E6A" w:rsidRDefault="00C66752" w:rsidP="00792E6A">
      <w:pPr>
        <w:pStyle w:val="NoSpacing"/>
        <w:rPr>
          <w:rFonts w:ascii="Arial" w:hAnsi="Arial" w:cs="Arial"/>
          <w:bCs/>
          <w:sz w:val="24"/>
        </w:rPr>
      </w:pPr>
      <w:r w:rsidRPr="78065883">
        <w:rPr>
          <w:rFonts w:ascii="Arial" w:hAnsi="Arial" w:cs="Arial"/>
          <w:sz w:val="24"/>
          <w:szCs w:val="24"/>
        </w:rPr>
        <w:t>A school should use its notional SEN budget to fund up to £6,000 worth of special educational provision for a pupil with SEN (on top of the basic entitlement (AWPU) sum). This is an average figure, as not all pupils with SEN require special educational provision up to the amount of £6,000. It will depend on the individual needs of each pupil with SEN.</w:t>
      </w:r>
    </w:p>
    <w:p w14:paraId="12C79865" w14:textId="19DEE743" w:rsidR="00C66752" w:rsidRPr="001E6C50" w:rsidRDefault="00A37C03" w:rsidP="00D5523B">
      <w:pPr>
        <w:pStyle w:val="NormalWeb"/>
        <w:shd w:val="clear" w:color="auto" w:fill="FFFFFF"/>
        <w:spacing w:before="0" w:beforeAutospacing="0" w:after="0" w:afterAutospacing="0"/>
        <w:textAlignment w:val="baseline"/>
        <w:rPr>
          <w:rFonts w:ascii="Arial" w:eastAsiaTheme="minorEastAsia" w:hAnsi="Arial" w:cs="Arial"/>
          <w:b/>
          <w:szCs w:val="22"/>
        </w:rPr>
      </w:pPr>
      <w:r>
        <w:rPr>
          <w:rFonts w:ascii="Arial" w:eastAsiaTheme="minorEastAsia" w:hAnsi="Arial" w:cs="Arial"/>
          <w:b/>
          <w:szCs w:val="22"/>
        </w:rPr>
        <w:lastRenderedPageBreak/>
        <w:t>Targeted</w:t>
      </w:r>
      <w:r w:rsidR="00C84A94">
        <w:rPr>
          <w:rFonts w:ascii="Arial" w:eastAsiaTheme="minorEastAsia" w:hAnsi="Arial" w:cs="Arial"/>
          <w:b/>
          <w:szCs w:val="22"/>
        </w:rPr>
        <w:t xml:space="preserve"> SEND funding model</w:t>
      </w:r>
      <w:r w:rsidR="00EC5F53" w:rsidRPr="001E6C50">
        <w:rPr>
          <w:rFonts w:ascii="Arial" w:eastAsiaTheme="minorEastAsia" w:hAnsi="Arial" w:cs="Arial"/>
          <w:b/>
          <w:szCs w:val="22"/>
        </w:rPr>
        <w:t xml:space="preserve"> (Pre 16 pupils)</w:t>
      </w:r>
    </w:p>
    <w:p w14:paraId="28E0D530" w14:textId="77777777" w:rsidR="00C66752" w:rsidRPr="00C66752" w:rsidRDefault="00C66752" w:rsidP="00D5523B">
      <w:pPr>
        <w:pStyle w:val="NormalWeb"/>
        <w:shd w:val="clear" w:color="auto" w:fill="FFFFFF"/>
        <w:spacing w:before="0" w:beforeAutospacing="0" w:after="0" w:afterAutospacing="0"/>
        <w:textAlignment w:val="baseline"/>
        <w:rPr>
          <w:rFonts w:ascii="Arial" w:eastAsiaTheme="minorEastAsia" w:hAnsi="Arial" w:cs="Arial"/>
          <w:bCs/>
          <w:szCs w:val="22"/>
        </w:rPr>
      </w:pPr>
    </w:p>
    <w:p w14:paraId="0CA469B6" w14:textId="1CB39A7C" w:rsidR="00C66752" w:rsidRDefault="00C66752" w:rsidP="00D5523B">
      <w:pPr>
        <w:pStyle w:val="NoSpacing"/>
        <w:rPr>
          <w:rFonts w:ascii="Arial" w:hAnsi="Arial" w:cs="Arial"/>
          <w:bCs/>
          <w:sz w:val="24"/>
        </w:rPr>
      </w:pPr>
      <w:r w:rsidRPr="00C66752">
        <w:rPr>
          <w:rFonts w:ascii="Arial" w:hAnsi="Arial" w:cs="Arial"/>
          <w:bCs/>
          <w:sz w:val="24"/>
        </w:rPr>
        <w:t xml:space="preserve">Apart from the basic entitlement per pupil and a lump sum, mainstream school funding is based on a number of formula factors that differentiate funding on the basis of pupil data. This funding forms part of the notional SEN budget. </w:t>
      </w:r>
      <w:r>
        <w:rPr>
          <w:rFonts w:ascii="Arial" w:hAnsi="Arial" w:cs="Arial"/>
          <w:bCs/>
        </w:rPr>
        <w:t xml:space="preserve">In </w:t>
      </w:r>
      <w:r w:rsidR="00741F9B">
        <w:rPr>
          <w:rFonts w:ascii="Arial" w:hAnsi="Arial" w:cs="Arial"/>
          <w:bCs/>
        </w:rPr>
        <w:t>Gloucestershire,</w:t>
      </w:r>
      <w:r>
        <w:rPr>
          <w:rFonts w:ascii="Arial" w:hAnsi="Arial" w:cs="Arial"/>
          <w:bCs/>
        </w:rPr>
        <w:t xml:space="preserve"> the </w:t>
      </w:r>
      <w:r>
        <w:rPr>
          <w:rFonts w:ascii="Arial" w:hAnsi="Arial" w:cs="Arial"/>
          <w:bCs/>
          <w:sz w:val="24"/>
        </w:rPr>
        <w:t>N</w:t>
      </w:r>
      <w:r w:rsidRPr="00212074">
        <w:rPr>
          <w:rFonts w:ascii="Arial" w:hAnsi="Arial" w:cs="Arial"/>
          <w:bCs/>
          <w:sz w:val="24"/>
        </w:rPr>
        <w:t xml:space="preserve">otional SEN budget consists of 100% of the Prior Attainment factor </w:t>
      </w:r>
      <w:r>
        <w:rPr>
          <w:rFonts w:ascii="Arial" w:hAnsi="Arial" w:cs="Arial"/>
          <w:bCs/>
          <w:sz w:val="24"/>
        </w:rPr>
        <w:t xml:space="preserve">rate </w:t>
      </w:r>
      <w:r w:rsidRPr="00212074">
        <w:rPr>
          <w:rFonts w:ascii="Arial" w:hAnsi="Arial" w:cs="Arial"/>
          <w:bCs/>
          <w:sz w:val="24"/>
        </w:rPr>
        <w:t>and 2.5% of the Age Weighted Pupil Unit factor</w:t>
      </w:r>
      <w:r>
        <w:rPr>
          <w:rFonts w:ascii="Arial" w:hAnsi="Arial" w:cs="Arial"/>
          <w:bCs/>
          <w:sz w:val="24"/>
        </w:rPr>
        <w:t xml:space="preserve"> rate</w:t>
      </w:r>
      <w:r w:rsidRPr="00212074">
        <w:rPr>
          <w:rFonts w:ascii="Arial" w:hAnsi="Arial" w:cs="Arial"/>
          <w:bCs/>
          <w:sz w:val="24"/>
        </w:rPr>
        <w:t>.</w:t>
      </w:r>
    </w:p>
    <w:p w14:paraId="1931EC87" w14:textId="2B4BBDA1" w:rsidR="00C66752" w:rsidRDefault="00C66752" w:rsidP="00D5523B">
      <w:pPr>
        <w:pStyle w:val="NoSpacing"/>
        <w:rPr>
          <w:rFonts w:ascii="Arial" w:hAnsi="Arial" w:cs="Arial"/>
          <w:bCs/>
          <w:sz w:val="24"/>
        </w:rPr>
      </w:pPr>
    </w:p>
    <w:p w14:paraId="5B801A6B" w14:textId="77777777" w:rsidR="00C66752" w:rsidRDefault="00C66752" w:rsidP="00D5523B">
      <w:pPr>
        <w:pStyle w:val="NoSpacing"/>
        <w:rPr>
          <w:rFonts w:ascii="Arial" w:hAnsi="Arial" w:cs="Arial"/>
          <w:sz w:val="24"/>
        </w:rPr>
      </w:pPr>
      <w:r w:rsidRPr="00192EA8">
        <w:rPr>
          <w:rFonts w:ascii="Arial" w:hAnsi="Arial" w:cs="Arial"/>
          <w:sz w:val="24"/>
        </w:rPr>
        <w:t xml:space="preserve">Schools </w:t>
      </w:r>
      <w:r>
        <w:rPr>
          <w:rFonts w:ascii="Arial" w:hAnsi="Arial" w:cs="Arial"/>
          <w:sz w:val="24"/>
        </w:rPr>
        <w:t xml:space="preserve">and </w:t>
      </w:r>
      <w:r w:rsidRPr="00192EA8">
        <w:rPr>
          <w:rFonts w:ascii="Arial" w:hAnsi="Arial" w:cs="Arial"/>
          <w:sz w:val="24"/>
        </w:rPr>
        <w:t>Academies will be expected to contribute the first £6,000 of the additional educational support provision for high needs pupils from thei</w:t>
      </w:r>
      <w:r>
        <w:rPr>
          <w:rFonts w:ascii="Arial" w:hAnsi="Arial" w:cs="Arial"/>
          <w:sz w:val="24"/>
        </w:rPr>
        <w:t xml:space="preserve">r notional SEN budget - this is </w:t>
      </w:r>
      <w:r w:rsidRPr="00192EA8">
        <w:rPr>
          <w:rFonts w:ascii="Arial" w:hAnsi="Arial" w:cs="Arial"/>
          <w:sz w:val="24"/>
        </w:rPr>
        <w:t>over and above</w:t>
      </w:r>
      <w:r>
        <w:rPr>
          <w:rFonts w:ascii="Arial" w:hAnsi="Arial" w:cs="Arial"/>
          <w:sz w:val="24"/>
        </w:rPr>
        <w:t xml:space="preserve"> </w:t>
      </w:r>
      <w:r w:rsidRPr="00192EA8">
        <w:rPr>
          <w:rFonts w:ascii="Arial" w:hAnsi="Arial" w:cs="Arial"/>
          <w:sz w:val="24"/>
        </w:rPr>
        <w:t>the cost of standard teaching and learning (which is funded by the age weighted pupil unit</w:t>
      </w:r>
      <w:r>
        <w:rPr>
          <w:rFonts w:ascii="Arial" w:hAnsi="Arial" w:cs="Arial"/>
          <w:sz w:val="24"/>
        </w:rPr>
        <w:t xml:space="preserve"> </w:t>
      </w:r>
      <w:r w:rsidRPr="00192EA8">
        <w:rPr>
          <w:rFonts w:ascii="Arial" w:hAnsi="Arial" w:cs="Arial"/>
          <w:sz w:val="24"/>
        </w:rPr>
        <w:t>(AWPU)</w:t>
      </w:r>
      <w:r>
        <w:rPr>
          <w:rFonts w:ascii="Arial" w:hAnsi="Arial" w:cs="Arial"/>
          <w:sz w:val="24"/>
        </w:rPr>
        <w:t>)</w:t>
      </w:r>
      <w:r w:rsidRPr="00192EA8">
        <w:rPr>
          <w:rFonts w:ascii="Arial" w:hAnsi="Arial" w:cs="Arial"/>
          <w:sz w:val="24"/>
        </w:rPr>
        <w:t xml:space="preserve">. </w:t>
      </w:r>
    </w:p>
    <w:p w14:paraId="66E1EEEF" w14:textId="77777777" w:rsidR="009E6344" w:rsidRDefault="009E6344" w:rsidP="00D5523B">
      <w:pPr>
        <w:pStyle w:val="NoSpacing"/>
        <w:rPr>
          <w:rFonts w:ascii="Arial" w:hAnsi="Arial" w:cs="Arial"/>
          <w:sz w:val="24"/>
        </w:rPr>
      </w:pPr>
    </w:p>
    <w:p w14:paraId="25E41D49" w14:textId="77777777" w:rsidR="00A61E22" w:rsidRPr="00A61E22" w:rsidRDefault="00A61E22" w:rsidP="00D5523B">
      <w:pPr>
        <w:spacing w:after="0" w:line="240" w:lineRule="auto"/>
        <w:rPr>
          <w:rFonts w:ascii="Arial" w:hAnsi="Arial" w:cs="Arial"/>
          <w:sz w:val="24"/>
        </w:rPr>
      </w:pPr>
      <w:r w:rsidRPr="00A61E22">
        <w:rPr>
          <w:rFonts w:ascii="Arial" w:hAnsi="Arial" w:cs="Arial"/>
          <w:sz w:val="24"/>
        </w:rPr>
        <w:t xml:space="preserve">The LA will provide additional funding from the high needs block in the form of a protection mechanism designed to compensate schools that attract a disproportionate number of pupils with high needs. </w:t>
      </w:r>
    </w:p>
    <w:p w14:paraId="3B442D98" w14:textId="77777777" w:rsidR="00A61E22" w:rsidRPr="00A61E22" w:rsidRDefault="00A61E22" w:rsidP="00D5523B">
      <w:pPr>
        <w:spacing w:after="0" w:line="240" w:lineRule="auto"/>
        <w:rPr>
          <w:rFonts w:ascii="Arial" w:hAnsi="Arial" w:cs="Arial"/>
          <w:sz w:val="24"/>
        </w:rPr>
      </w:pPr>
    </w:p>
    <w:p w14:paraId="41960346" w14:textId="52E636F5" w:rsidR="00A61E22" w:rsidRDefault="005C68AD" w:rsidP="78065883">
      <w:pPr>
        <w:spacing w:after="0" w:line="240" w:lineRule="auto"/>
        <w:rPr>
          <w:rFonts w:ascii="Arial" w:hAnsi="Arial" w:cs="Arial"/>
          <w:sz w:val="24"/>
          <w:szCs w:val="24"/>
        </w:rPr>
      </w:pPr>
      <w:r w:rsidRPr="78065883">
        <w:rPr>
          <w:rFonts w:ascii="Arial" w:hAnsi="Arial" w:cs="Arial"/>
          <w:sz w:val="24"/>
          <w:szCs w:val="24"/>
        </w:rPr>
        <w:t>During</w:t>
      </w:r>
      <w:r w:rsidR="00A61E22" w:rsidRPr="78065883">
        <w:rPr>
          <w:rFonts w:ascii="Arial" w:hAnsi="Arial" w:cs="Arial"/>
          <w:sz w:val="24"/>
          <w:szCs w:val="24"/>
        </w:rPr>
        <w:t xml:space="preserve"> </w:t>
      </w:r>
      <w:r w:rsidR="006E5522" w:rsidRPr="78065883">
        <w:rPr>
          <w:rFonts w:ascii="Arial" w:hAnsi="Arial" w:cs="Arial"/>
          <w:sz w:val="24"/>
          <w:szCs w:val="24"/>
        </w:rPr>
        <w:t>20</w:t>
      </w:r>
      <w:r w:rsidR="00A61E22" w:rsidRPr="78065883">
        <w:rPr>
          <w:rFonts w:ascii="Arial" w:hAnsi="Arial" w:cs="Arial"/>
          <w:sz w:val="24"/>
          <w:szCs w:val="24"/>
        </w:rPr>
        <w:t>2</w:t>
      </w:r>
      <w:r w:rsidR="003951BB">
        <w:rPr>
          <w:rFonts w:ascii="Arial" w:hAnsi="Arial" w:cs="Arial"/>
          <w:sz w:val="24"/>
          <w:szCs w:val="24"/>
        </w:rPr>
        <w:t>6-27</w:t>
      </w:r>
      <w:r w:rsidR="00035B22" w:rsidRPr="78065883">
        <w:rPr>
          <w:rFonts w:ascii="Arial" w:hAnsi="Arial" w:cs="Arial"/>
          <w:sz w:val="24"/>
          <w:szCs w:val="24"/>
        </w:rPr>
        <w:t xml:space="preserve"> financial year</w:t>
      </w:r>
      <w:r w:rsidR="00A61E22" w:rsidRPr="78065883">
        <w:rPr>
          <w:rFonts w:ascii="Arial" w:hAnsi="Arial" w:cs="Arial"/>
          <w:sz w:val="24"/>
          <w:szCs w:val="24"/>
        </w:rPr>
        <w:t xml:space="preserve"> the targeted SEND funding will be based on the following:</w:t>
      </w:r>
    </w:p>
    <w:p w14:paraId="3B2CA1CC" w14:textId="77777777" w:rsidR="00AA272A" w:rsidRDefault="00AA272A" w:rsidP="78065883">
      <w:pPr>
        <w:spacing w:after="0" w:line="240" w:lineRule="auto"/>
        <w:rPr>
          <w:rFonts w:ascii="Arial" w:hAnsi="Arial" w:cs="Arial"/>
          <w:sz w:val="24"/>
          <w:szCs w:val="24"/>
        </w:rPr>
      </w:pPr>
    </w:p>
    <w:p w14:paraId="33087337" w14:textId="165070AA" w:rsidR="00A61E22" w:rsidRDefault="00655021" w:rsidP="00D5523B">
      <w:pPr>
        <w:spacing w:after="0" w:line="240" w:lineRule="auto"/>
        <w:rPr>
          <w:rFonts w:ascii="Arial" w:hAnsi="Arial" w:cs="Arial"/>
          <w:sz w:val="24"/>
        </w:rPr>
      </w:pPr>
      <w:r w:rsidRPr="00655021">
        <w:rPr>
          <w:rFonts w:ascii="Arial" w:hAnsi="Arial" w:cs="Arial"/>
          <w:sz w:val="24"/>
          <w:szCs w:val="24"/>
        </w:rPr>
        <w:t xml:space="preserve">The number of high needs pupils for whom schools are expected to contribute will be restricted to 1 for every </w:t>
      </w:r>
      <w:r>
        <w:rPr>
          <w:rFonts w:ascii="Arial" w:hAnsi="Arial" w:cs="Arial"/>
          <w:sz w:val="24"/>
          <w:szCs w:val="24"/>
        </w:rPr>
        <w:t>2</w:t>
      </w:r>
      <w:r w:rsidRPr="00655021">
        <w:rPr>
          <w:rFonts w:ascii="Arial" w:hAnsi="Arial" w:cs="Arial"/>
          <w:sz w:val="24"/>
          <w:szCs w:val="24"/>
        </w:rPr>
        <w:t>0 pupils</w:t>
      </w:r>
      <w:r w:rsidR="00B93C8C">
        <w:rPr>
          <w:rFonts w:ascii="Arial" w:hAnsi="Arial" w:cs="Arial"/>
          <w:sz w:val="24"/>
          <w:szCs w:val="24"/>
        </w:rPr>
        <w:t xml:space="preserve"> </w:t>
      </w:r>
      <w:r w:rsidR="004C4B89">
        <w:rPr>
          <w:rFonts w:ascii="Arial" w:hAnsi="Arial" w:cs="Arial"/>
          <w:sz w:val="24"/>
          <w:szCs w:val="24"/>
        </w:rPr>
        <w:t xml:space="preserve">on roll as at the October 2025 census </w:t>
      </w:r>
      <w:r w:rsidRPr="00655021">
        <w:rPr>
          <w:rFonts w:ascii="Arial" w:hAnsi="Arial" w:cs="Arial"/>
          <w:sz w:val="24"/>
          <w:szCs w:val="24"/>
        </w:rPr>
        <w:t>rounded to the nearest whole number</w:t>
      </w:r>
      <w:r w:rsidR="00DE0A65">
        <w:rPr>
          <w:rFonts w:ascii="Arial" w:hAnsi="Arial" w:cs="Arial"/>
          <w:sz w:val="24"/>
          <w:szCs w:val="24"/>
        </w:rPr>
        <w:t>. This is sometimes referred to as the “1 in 20” model.</w:t>
      </w:r>
      <w:r w:rsidR="00DE0A65" w:rsidRPr="00655021">
        <w:rPr>
          <w:rFonts w:ascii="Arial" w:hAnsi="Arial" w:cs="Arial"/>
          <w:sz w:val="24"/>
          <w:szCs w:val="24"/>
        </w:rPr>
        <w:t xml:space="preserve">  </w:t>
      </w:r>
    </w:p>
    <w:p w14:paraId="44603C36" w14:textId="722E1211" w:rsidR="005946AA" w:rsidRDefault="005946AA" w:rsidP="00D5523B">
      <w:pPr>
        <w:spacing w:after="0" w:line="240" w:lineRule="auto"/>
        <w:rPr>
          <w:rFonts w:ascii="Arial" w:hAnsi="Arial" w:cs="Arial"/>
          <w:sz w:val="24"/>
        </w:rPr>
      </w:pPr>
    </w:p>
    <w:p w14:paraId="2953E09B" w14:textId="70AC0870" w:rsidR="004A7D46" w:rsidRDefault="004A7D46" w:rsidP="00D5523B">
      <w:pPr>
        <w:spacing w:after="0" w:line="240" w:lineRule="auto"/>
        <w:rPr>
          <w:rFonts w:ascii="Arial" w:hAnsi="Arial" w:cs="Arial"/>
          <w:sz w:val="24"/>
        </w:rPr>
      </w:pPr>
      <w:r>
        <w:rPr>
          <w:rFonts w:ascii="Arial" w:hAnsi="Arial" w:cs="Arial"/>
          <w:sz w:val="24"/>
        </w:rPr>
        <w:t>Targeted SEND funding will be issued in two tranches</w:t>
      </w:r>
      <w:r w:rsidR="0090259A">
        <w:rPr>
          <w:rFonts w:ascii="Arial" w:hAnsi="Arial" w:cs="Arial"/>
          <w:sz w:val="24"/>
        </w:rPr>
        <w:t xml:space="preserve"> during the financial year</w:t>
      </w:r>
      <w:r w:rsidR="00BB3094">
        <w:rPr>
          <w:rFonts w:ascii="Arial" w:hAnsi="Arial" w:cs="Arial"/>
          <w:sz w:val="24"/>
        </w:rPr>
        <w:t>:</w:t>
      </w:r>
    </w:p>
    <w:p w14:paraId="24721095" w14:textId="77777777" w:rsidR="00BB3094" w:rsidRDefault="00BB3094" w:rsidP="00D5523B">
      <w:pPr>
        <w:spacing w:after="0" w:line="240" w:lineRule="auto"/>
        <w:rPr>
          <w:rFonts w:ascii="Arial" w:hAnsi="Arial" w:cs="Arial"/>
          <w:sz w:val="24"/>
        </w:rPr>
      </w:pPr>
    </w:p>
    <w:p w14:paraId="6DA222D7" w14:textId="5913F673" w:rsidR="00BB3094" w:rsidRPr="00423845" w:rsidRDefault="00BB3094" w:rsidP="00D5523B">
      <w:pPr>
        <w:spacing w:after="0" w:line="240" w:lineRule="auto"/>
        <w:rPr>
          <w:rFonts w:ascii="Arial" w:hAnsi="Arial" w:cs="Arial"/>
          <w:sz w:val="24"/>
        </w:rPr>
      </w:pPr>
      <w:r w:rsidRPr="00B93C8C">
        <w:rPr>
          <w:rFonts w:ascii="Arial" w:hAnsi="Arial" w:cs="Arial"/>
          <w:b/>
          <w:bCs/>
          <w:sz w:val="24"/>
        </w:rPr>
        <w:t>September 2026</w:t>
      </w:r>
      <w:r>
        <w:rPr>
          <w:rFonts w:ascii="Arial" w:hAnsi="Arial" w:cs="Arial"/>
          <w:sz w:val="24"/>
        </w:rPr>
        <w:t xml:space="preserve"> – </w:t>
      </w:r>
      <w:r w:rsidR="00E37DA1" w:rsidRPr="00E37DA1">
        <w:rPr>
          <w:rFonts w:ascii="Arial" w:hAnsi="Arial" w:cs="Arial"/>
          <w:sz w:val="24"/>
        </w:rPr>
        <w:t xml:space="preserve">eligible </w:t>
      </w:r>
      <w:r w:rsidR="00E37DA1" w:rsidRPr="00423845">
        <w:rPr>
          <w:rFonts w:ascii="Arial" w:hAnsi="Arial" w:cs="Arial"/>
          <w:sz w:val="24"/>
        </w:rPr>
        <w:t>schools will receive 5/12ths of the annual allocation, based on the actual 1</w:t>
      </w:r>
      <w:r w:rsidR="00807C81">
        <w:rPr>
          <w:rFonts w:ascii="Arial" w:hAnsi="Arial" w:cs="Arial"/>
          <w:sz w:val="24"/>
        </w:rPr>
        <w:t xml:space="preserve"> </w:t>
      </w:r>
      <w:r w:rsidR="00E37DA1" w:rsidRPr="00423845">
        <w:rPr>
          <w:rFonts w:ascii="Arial" w:hAnsi="Arial" w:cs="Arial"/>
          <w:sz w:val="24"/>
        </w:rPr>
        <w:t>in</w:t>
      </w:r>
      <w:r w:rsidR="00807C81">
        <w:rPr>
          <w:rFonts w:ascii="Arial" w:hAnsi="Arial" w:cs="Arial"/>
          <w:sz w:val="24"/>
        </w:rPr>
        <w:t xml:space="preserve"> </w:t>
      </w:r>
      <w:r w:rsidR="00E37DA1" w:rsidRPr="00423845">
        <w:rPr>
          <w:rFonts w:ascii="Arial" w:hAnsi="Arial" w:cs="Arial"/>
          <w:sz w:val="24"/>
        </w:rPr>
        <w:t xml:space="preserve">20 calculation </w:t>
      </w:r>
      <w:r w:rsidR="00EA4917">
        <w:rPr>
          <w:rFonts w:ascii="Arial" w:hAnsi="Arial" w:cs="Arial"/>
          <w:sz w:val="24"/>
        </w:rPr>
        <w:t>as per the August high needs funding report.</w:t>
      </w:r>
    </w:p>
    <w:p w14:paraId="2809B1BF" w14:textId="77777777" w:rsidR="00595609" w:rsidRDefault="00595609" w:rsidP="00D5523B">
      <w:pPr>
        <w:spacing w:after="0" w:line="240" w:lineRule="auto"/>
        <w:rPr>
          <w:rFonts w:ascii="Arial" w:hAnsi="Arial" w:cs="Arial"/>
          <w:sz w:val="24"/>
        </w:rPr>
      </w:pPr>
    </w:p>
    <w:p w14:paraId="54739687" w14:textId="48F6852C" w:rsidR="007D3446" w:rsidRPr="00423845" w:rsidRDefault="00BB3094" w:rsidP="007D3446">
      <w:pPr>
        <w:spacing w:after="0" w:line="240" w:lineRule="auto"/>
        <w:rPr>
          <w:rFonts w:ascii="Arial" w:hAnsi="Arial" w:cs="Arial"/>
          <w:sz w:val="24"/>
        </w:rPr>
      </w:pPr>
      <w:r w:rsidRPr="00B93C8C">
        <w:rPr>
          <w:rFonts w:ascii="Arial" w:hAnsi="Arial" w:cs="Arial"/>
          <w:b/>
          <w:bCs/>
          <w:sz w:val="24"/>
        </w:rPr>
        <w:t>March 2027</w:t>
      </w:r>
      <w:r w:rsidR="0090259A">
        <w:rPr>
          <w:rFonts w:ascii="Arial" w:hAnsi="Arial" w:cs="Arial"/>
          <w:sz w:val="24"/>
        </w:rPr>
        <w:t xml:space="preserve"> – </w:t>
      </w:r>
      <w:r w:rsidR="007D3446" w:rsidRPr="007D3446">
        <w:rPr>
          <w:rFonts w:ascii="Arial" w:hAnsi="Arial" w:cs="Arial"/>
          <w:sz w:val="24"/>
        </w:rPr>
        <w:t xml:space="preserve">eligible schools will </w:t>
      </w:r>
      <w:r w:rsidR="007D3446" w:rsidRPr="00423845">
        <w:rPr>
          <w:rFonts w:ascii="Arial" w:hAnsi="Arial" w:cs="Arial"/>
          <w:sz w:val="24"/>
        </w:rPr>
        <w:t>receive the remaining annual allocation</w:t>
      </w:r>
      <w:r w:rsidR="007D3446" w:rsidRPr="007D3446">
        <w:rPr>
          <w:rFonts w:ascii="Arial" w:hAnsi="Arial" w:cs="Arial"/>
          <w:sz w:val="24"/>
        </w:rPr>
        <w:t xml:space="preserve">, taking into account the </w:t>
      </w:r>
      <w:r w:rsidR="00D13419">
        <w:rPr>
          <w:rFonts w:ascii="Arial" w:hAnsi="Arial" w:cs="Arial"/>
          <w:sz w:val="24"/>
        </w:rPr>
        <w:t>actual</w:t>
      </w:r>
      <w:r w:rsidR="007D3446" w:rsidRPr="00423845">
        <w:rPr>
          <w:rFonts w:ascii="Arial" w:hAnsi="Arial" w:cs="Arial"/>
          <w:sz w:val="24"/>
        </w:rPr>
        <w:t xml:space="preserve"> 1</w:t>
      </w:r>
      <w:r w:rsidR="00FC092A">
        <w:rPr>
          <w:rFonts w:ascii="Arial" w:hAnsi="Arial" w:cs="Arial"/>
          <w:sz w:val="24"/>
        </w:rPr>
        <w:t xml:space="preserve"> </w:t>
      </w:r>
      <w:r w:rsidR="007D3446" w:rsidRPr="00423845">
        <w:rPr>
          <w:rFonts w:ascii="Arial" w:hAnsi="Arial" w:cs="Arial"/>
          <w:sz w:val="24"/>
        </w:rPr>
        <w:t>in</w:t>
      </w:r>
      <w:r w:rsidR="00FC092A">
        <w:rPr>
          <w:rFonts w:ascii="Arial" w:hAnsi="Arial" w:cs="Arial"/>
          <w:sz w:val="24"/>
        </w:rPr>
        <w:t xml:space="preserve"> </w:t>
      </w:r>
      <w:r w:rsidR="007D3446" w:rsidRPr="00423845">
        <w:rPr>
          <w:rFonts w:ascii="Arial" w:hAnsi="Arial" w:cs="Arial"/>
          <w:sz w:val="24"/>
        </w:rPr>
        <w:t>20 calculation</w:t>
      </w:r>
      <w:r w:rsidR="00EA4917">
        <w:rPr>
          <w:rFonts w:ascii="Arial" w:hAnsi="Arial" w:cs="Arial"/>
          <w:sz w:val="24"/>
        </w:rPr>
        <w:t xml:space="preserve"> as per the March high needs funding report.</w:t>
      </w:r>
    </w:p>
    <w:p w14:paraId="433E458B" w14:textId="7162A8E9" w:rsidR="00983BF7" w:rsidRPr="00A1069B" w:rsidRDefault="00983BF7" w:rsidP="0073042C">
      <w:pPr>
        <w:spacing w:after="0" w:line="240" w:lineRule="auto"/>
        <w:rPr>
          <w:rFonts w:ascii="Arial" w:hAnsi="Arial" w:cs="Arial"/>
          <w:sz w:val="24"/>
        </w:rPr>
      </w:pPr>
    </w:p>
    <w:p w14:paraId="61F86AA1" w14:textId="440C9C3F" w:rsidR="00EC5F53" w:rsidRPr="00EC5F53" w:rsidRDefault="001E6C50" w:rsidP="00D5523B">
      <w:pPr>
        <w:pStyle w:val="NormalWeb"/>
        <w:shd w:val="clear" w:color="auto" w:fill="FFFFFF"/>
        <w:spacing w:before="0" w:beforeAutospacing="0" w:after="0" w:afterAutospacing="0"/>
        <w:textAlignment w:val="baseline"/>
        <w:rPr>
          <w:rFonts w:ascii="Arial" w:eastAsiaTheme="minorEastAsia" w:hAnsi="Arial" w:cs="Arial"/>
          <w:b/>
          <w:szCs w:val="22"/>
        </w:rPr>
      </w:pPr>
      <w:bookmarkStart w:id="10" w:name="OLE_LINK1"/>
      <w:bookmarkEnd w:id="10"/>
      <w:r>
        <w:rPr>
          <w:rFonts w:ascii="Arial" w:eastAsiaTheme="minorEastAsia" w:hAnsi="Arial" w:cs="Arial"/>
          <w:b/>
          <w:szCs w:val="22"/>
        </w:rPr>
        <w:t xml:space="preserve">Element 3 - </w:t>
      </w:r>
      <w:r w:rsidR="00EC5F53" w:rsidRPr="00EC5F53">
        <w:rPr>
          <w:rFonts w:ascii="Arial" w:eastAsiaTheme="minorEastAsia" w:hAnsi="Arial" w:cs="Arial"/>
          <w:b/>
          <w:szCs w:val="22"/>
        </w:rPr>
        <w:t>Top-up Funding (sometimes referred to as an Individually Assigned Resource (IAR</w:t>
      </w:r>
      <w:r>
        <w:rPr>
          <w:rFonts w:ascii="Arial" w:eastAsiaTheme="minorEastAsia" w:hAnsi="Arial" w:cs="Arial"/>
          <w:b/>
          <w:szCs w:val="22"/>
        </w:rPr>
        <w:t>))</w:t>
      </w:r>
    </w:p>
    <w:p w14:paraId="58887645" w14:textId="77777777" w:rsidR="00EC5F53" w:rsidRDefault="00EC5F53" w:rsidP="00D5523B">
      <w:pPr>
        <w:pStyle w:val="NormalWeb"/>
        <w:shd w:val="clear" w:color="auto" w:fill="FFFFFF"/>
        <w:spacing w:before="0" w:beforeAutospacing="0" w:after="0" w:afterAutospacing="0"/>
        <w:textAlignment w:val="baseline"/>
        <w:rPr>
          <w:rFonts w:ascii="Lato" w:hAnsi="Lato"/>
          <w:color w:val="333333"/>
          <w:sz w:val="27"/>
          <w:szCs w:val="27"/>
        </w:rPr>
      </w:pPr>
    </w:p>
    <w:p w14:paraId="121F7BA8" w14:textId="452BDEE4" w:rsidR="00EC5F53" w:rsidRDefault="00EC5F53" w:rsidP="78065883">
      <w:pPr>
        <w:pStyle w:val="NoSpacing"/>
        <w:rPr>
          <w:rFonts w:ascii="Arial" w:hAnsi="Arial" w:cs="Arial"/>
          <w:sz w:val="24"/>
          <w:szCs w:val="24"/>
        </w:rPr>
      </w:pPr>
      <w:r w:rsidRPr="78065883">
        <w:rPr>
          <w:rFonts w:ascii="Arial" w:hAnsi="Arial" w:cs="Arial"/>
          <w:sz w:val="24"/>
          <w:szCs w:val="24"/>
        </w:rPr>
        <w:t xml:space="preserve">In addition to funding delegated to schools for elements 1 and 2 described above, if the child has an Education, </w:t>
      </w:r>
      <w:r w:rsidR="00741F9B" w:rsidRPr="78065883">
        <w:rPr>
          <w:rFonts w:ascii="Arial" w:hAnsi="Arial" w:cs="Arial"/>
          <w:sz w:val="24"/>
          <w:szCs w:val="24"/>
        </w:rPr>
        <w:t>Health,</w:t>
      </w:r>
      <w:r w:rsidRPr="78065883">
        <w:rPr>
          <w:rFonts w:ascii="Arial" w:hAnsi="Arial" w:cs="Arial"/>
          <w:sz w:val="24"/>
          <w:szCs w:val="24"/>
        </w:rPr>
        <w:t xml:space="preserve"> and Care Plan (EHCP) or a statement of special educational needs </w:t>
      </w:r>
      <w:r w:rsidR="0043223B">
        <w:rPr>
          <w:rFonts w:ascii="Arial" w:hAnsi="Arial" w:cs="Arial"/>
          <w:sz w:val="24"/>
          <w:szCs w:val="24"/>
        </w:rPr>
        <w:t>the local autho</w:t>
      </w:r>
      <w:r w:rsidR="0067798C">
        <w:rPr>
          <w:rFonts w:ascii="Arial" w:hAnsi="Arial" w:cs="Arial"/>
          <w:sz w:val="24"/>
          <w:szCs w:val="24"/>
        </w:rPr>
        <w:t xml:space="preserve">rity </w:t>
      </w:r>
      <w:r w:rsidR="009344B6">
        <w:rPr>
          <w:rFonts w:ascii="Arial" w:hAnsi="Arial" w:cs="Arial"/>
          <w:sz w:val="24"/>
          <w:szCs w:val="24"/>
        </w:rPr>
        <w:t>can</w:t>
      </w:r>
      <w:r w:rsidR="0067798C">
        <w:rPr>
          <w:rFonts w:ascii="Arial" w:hAnsi="Arial" w:cs="Arial"/>
          <w:sz w:val="24"/>
          <w:szCs w:val="24"/>
        </w:rPr>
        <w:t xml:space="preserve"> provide</w:t>
      </w:r>
      <w:r w:rsidRPr="78065883">
        <w:rPr>
          <w:rFonts w:ascii="Arial" w:hAnsi="Arial" w:cs="Arial"/>
          <w:sz w:val="24"/>
          <w:szCs w:val="24"/>
        </w:rPr>
        <w:t xml:space="preserve"> IAR funding (element 3) towards the extra cost of that provision. </w:t>
      </w:r>
    </w:p>
    <w:p w14:paraId="344B5C8C" w14:textId="77777777" w:rsidR="00EC5F53" w:rsidRPr="00EC5F53" w:rsidRDefault="00EC5F53" w:rsidP="00D5523B">
      <w:pPr>
        <w:pStyle w:val="NoSpacing"/>
        <w:rPr>
          <w:rFonts w:ascii="Arial" w:hAnsi="Arial" w:cs="Arial"/>
          <w:sz w:val="24"/>
        </w:rPr>
      </w:pPr>
    </w:p>
    <w:p w14:paraId="5CD7955A" w14:textId="4A2A3C81" w:rsidR="00EC5F53" w:rsidRDefault="00EC5F53" w:rsidP="00D5523B">
      <w:pPr>
        <w:pStyle w:val="NoSpacing"/>
        <w:rPr>
          <w:rFonts w:ascii="Arial" w:hAnsi="Arial" w:cs="Arial"/>
          <w:sz w:val="24"/>
        </w:rPr>
      </w:pPr>
      <w:r w:rsidRPr="00EC5F53">
        <w:rPr>
          <w:rFonts w:ascii="Arial" w:hAnsi="Arial" w:cs="Arial"/>
          <w:sz w:val="24"/>
        </w:rPr>
        <w:t>Element 3 is provided by the local authority for an individual pupil who has a high level of needs and schools are expected to use this funding to make provision for that individual pupil.</w:t>
      </w:r>
    </w:p>
    <w:p w14:paraId="72B06996" w14:textId="77777777" w:rsidR="009344B6" w:rsidRDefault="009344B6" w:rsidP="00D5523B">
      <w:pPr>
        <w:pStyle w:val="NoSpacing"/>
        <w:rPr>
          <w:rFonts w:ascii="Arial" w:hAnsi="Arial" w:cs="Arial"/>
          <w:sz w:val="24"/>
        </w:rPr>
      </w:pPr>
    </w:p>
    <w:p w14:paraId="558975CF" w14:textId="67EB568A" w:rsidR="00EC5F53" w:rsidRDefault="00EC5F53" w:rsidP="00D5523B">
      <w:pPr>
        <w:pStyle w:val="NoSpacing"/>
        <w:rPr>
          <w:rFonts w:ascii="Arial" w:hAnsi="Arial" w:cs="Arial"/>
          <w:sz w:val="24"/>
        </w:rPr>
      </w:pPr>
      <w:r w:rsidRPr="00EC5F53">
        <w:rPr>
          <w:rFonts w:ascii="Arial" w:hAnsi="Arial" w:cs="Arial"/>
          <w:sz w:val="24"/>
        </w:rPr>
        <w:t>An individually assigned resource is allocated by the LA to enable the school to make appropriate educational provision to meet the educational outcomes in the Statement or Educational Health and Care Plan. Again, governors of schools are legally responsible for deciding how the funds they receive are best used to meet the child’s educational outcomes.</w:t>
      </w:r>
    </w:p>
    <w:p w14:paraId="4A63CBBE" w14:textId="77777777" w:rsidR="00EC5F53" w:rsidRPr="00EC5F53" w:rsidRDefault="00EC5F53" w:rsidP="00D5523B">
      <w:pPr>
        <w:pStyle w:val="NoSpacing"/>
        <w:rPr>
          <w:rFonts w:ascii="Arial" w:hAnsi="Arial" w:cs="Arial"/>
          <w:sz w:val="24"/>
        </w:rPr>
      </w:pPr>
    </w:p>
    <w:p w14:paraId="1579776B" w14:textId="718C092B" w:rsidR="00EC5F53" w:rsidRDefault="00EC5F53" w:rsidP="00D5523B">
      <w:pPr>
        <w:pStyle w:val="NoSpacing"/>
        <w:rPr>
          <w:rFonts w:ascii="Arial" w:hAnsi="Arial" w:cs="Arial"/>
          <w:sz w:val="24"/>
        </w:rPr>
      </w:pPr>
      <w:r w:rsidRPr="00EC5F53">
        <w:rPr>
          <w:rFonts w:ascii="Arial" w:hAnsi="Arial" w:cs="Arial"/>
          <w:sz w:val="24"/>
        </w:rPr>
        <w:t>For the very small number of children in mainstream education who have exceptional needs requiring more support above elements 1 and 2 and an IAR, a case can be presented by a school to the local authority SEN Panel to obtain a personal supplement, the amount of which will vary according to the assessed need.</w:t>
      </w:r>
    </w:p>
    <w:p w14:paraId="2448ABF6" w14:textId="77777777" w:rsidR="00EC5F53" w:rsidRPr="00EC5F53" w:rsidRDefault="00EC5F53" w:rsidP="00D5523B">
      <w:pPr>
        <w:pStyle w:val="NoSpacing"/>
        <w:rPr>
          <w:rFonts w:ascii="Arial" w:hAnsi="Arial" w:cs="Arial"/>
          <w:sz w:val="24"/>
        </w:rPr>
      </w:pPr>
    </w:p>
    <w:p w14:paraId="6FE708F4" w14:textId="77777777" w:rsidR="00EC5F53" w:rsidRDefault="00EC5F53" w:rsidP="00D5523B">
      <w:pPr>
        <w:pStyle w:val="NoSpacing"/>
        <w:rPr>
          <w:rFonts w:ascii="Arial" w:hAnsi="Arial" w:cs="Arial"/>
          <w:sz w:val="24"/>
        </w:rPr>
      </w:pPr>
      <w:r w:rsidRPr="00EC5F53">
        <w:rPr>
          <w:rFonts w:ascii="Arial" w:hAnsi="Arial" w:cs="Arial"/>
          <w:sz w:val="24"/>
        </w:rPr>
        <w:t xml:space="preserve">The funding a mainstream school/academy receives as an IAR/personal supplement (element 3) will vary through the year as this money “follows” the child. If a child with an EHCP joins the school part-way through a year, an IAR, and exceptionally a personal supplement, will be allocated to the school on a pro-rata basis, calculated according to the number of school days left in the financial </w:t>
      </w:r>
      <w:r w:rsidRPr="00EC5F53">
        <w:rPr>
          <w:rFonts w:ascii="Arial" w:hAnsi="Arial" w:cs="Arial"/>
          <w:sz w:val="24"/>
        </w:rPr>
        <w:lastRenderedPageBreak/>
        <w:t>year. Equally, if a child leaves, a proportion of the IAR/personal supplement originally allocated will be removed from the budget, again on a pro-rata basis.</w:t>
      </w:r>
    </w:p>
    <w:p w14:paraId="24F8CC21" w14:textId="77777777" w:rsidR="00DC417D" w:rsidRDefault="00DC417D" w:rsidP="00D5523B">
      <w:pPr>
        <w:pStyle w:val="NoSpacing"/>
        <w:rPr>
          <w:rFonts w:ascii="Arial" w:hAnsi="Arial" w:cs="Arial"/>
          <w:sz w:val="24"/>
        </w:rPr>
      </w:pPr>
    </w:p>
    <w:p w14:paraId="4F040122" w14:textId="58A2F5C5" w:rsidR="00443229" w:rsidRDefault="00443229" w:rsidP="00D5523B">
      <w:pPr>
        <w:pStyle w:val="NoSpacing"/>
        <w:rPr>
          <w:rFonts w:ascii="Arial" w:hAnsi="Arial" w:cs="Arial"/>
          <w:sz w:val="24"/>
        </w:rPr>
      </w:pPr>
      <w:r>
        <w:rPr>
          <w:rFonts w:ascii="Arial" w:hAnsi="Arial" w:cs="Arial"/>
          <w:sz w:val="24"/>
        </w:rPr>
        <w:t xml:space="preserve">The top up rates </w:t>
      </w:r>
      <w:r w:rsidR="00D52A06">
        <w:rPr>
          <w:rFonts w:ascii="Arial" w:hAnsi="Arial" w:cs="Arial"/>
          <w:sz w:val="24"/>
        </w:rPr>
        <w:t xml:space="preserve">have been uplifted by 3% and </w:t>
      </w:r>
      <w:r>
        <w:rPr>
          <w:rFonts w:ascii="Arial" w:hAnsi="Arial" w:cs="Arial"/>
          <w:sz w:val="24"/>
        </w:rPr>
        <w:t>are as follows:</w:t>
      </w:r>
    </w:p>
    <w:p w14:paraId="2B2BFCE8" w14:textId="77777777" w:rsidR="00443229" w:rsidRDefault="00443229" w:rsidP="00D5523B">
      <w:pPr>
        <w:pStyle w:val="NoSpacing"/>
        <w:rPr>
          <w:rFonts w:ascii="Arial" w:hAnsi="Arial" w:cs="Arial"/>
          <w:sz w:val="24"/>
        </w:rPr>
      </w:pPr>
    </w:p>
    <w:tbl>
      <w:tblPr>
        <w:tblStyle w:val="TableGrid"/>
        <w:tblW w:w="3233" w:type="dxa"/>
        <w:tblLook w:val="04A0" w:firstRow="1" w:lastRow="0" w:firstColumn="1" w:lastColumn="0" w:noHBand="0" w:noVBand="1"/>
      </w:tblPr>
      <w:tblGrid>
        <w:gridCol w:w="1530"/>
        <w:gridCol w:w="1703"/>
      </w:tblGrid>
      <w:tr w:rsidR="00443229" w:rsidRPr="001778EA" w14:paraId="761BED40" w14:textId="77777777" w:rsidTr="00443229">
        <w:tc>
          <w:tcPr>
            <w:tcW w:w="1530" w:type="dxa"/>
          </w:tcPr>
          <w:p w14:paraId="4381F542" w14:textId="5247E095" w:rsidR="00443229" w:rsidRPr="001778EA" w:rsidRDefault="00443229" w:rsidP="00D5523B">
            <w:pPr>
              <w:pStyle w:val="NoSpacing"/>
              <w:rPr>
                <w:rFonts w:ascii="Arial" w:hAnsi="Arial" w:cs="Arial"/>
                <w:b/>
                <w:bCs/>
                <w:sz w:val="24"/>
              </w:rPr>
            </w:pPr>
            <w:r w:rsidRPr="001778EA">
              <w:rPr>
                <w:rFonts w:ascii="Arial" w:hAnsi="Arial" w:cs="Arial"/>
                <w:b/>
                <w:bCs/>
                <w:sz w:val="24"/>
              </w:rPr>
              <w:t>Band</w:t>
            </w:r>
            <w:r>
              <w:rPr>
                <w:rFonts w:ascii="Arial" w:hAnsi="Arial" w:cs="Arial"/>
                <w:b/>
                <w:bCs/>
                <w:sz w:val="24"/>
              </w:rPr>
              <w:t xml:space="preserve"> </w:t>
            </w:r>
          </w:p>
        </w:tc>
        <w:tc>
          <w:tcPr>
            <w:tcW w:w="1703" w:type="dxa"/>
          </w:tcPr>
          <w:p w14:paraId="6BAAC901" w14:textId="77777777" w:rsidR="00443229" w:rsidRPr="001778EA" w:rsidRDefault="00443229" w:rsidP="00D5523B">
            <w:pPr>
              <w:pStyle w:val="NoSpacing"/>
              <w:jc w:val="right"/>
              <w:rPr>
                <w:rFonts w:ascii="Arial" w:hAnsi="Arial" w:cs="Arial"/>
                <w:b/>
                <w:bCs/>
                <w:sz w:val="24"/>
              </w:rPr>
            </w:pPr>
            <w:r>
              <w:rPr>
                <w:rFonts w:ascii="Arial" w:hAnsi="Arial" w:cs="Arial"/>
                <w:b/>
                <w:bCs/>
                <w:sz w:val="24"/>
              </w:rPr>
              <w:t>Mainstream Annual Rate</w:t>
            </w:r>
          </w:p>
        </w:tc>
      </w:tr>
      <w:tr w:rsidR="00443229" w14:paraId="65F31254" w14:textId="77777777" w:rsidTr="00443229">
        <w:tc>
          <w:tcPr>
            <w:tcW w:w="1530" w:type="dxa"/>
          </w:tcPr>
          <w:p w14:paraId="28699900" w14:textId="77777777" w:rsidR="00443229" w:rsidRDefault="00443229" w:rsidP="00D5523B">
            <w:pPr>
              <w:pStyle w:val="NoSpacing"/>
              <w:rPr>
                <w:rFonts w:ascii="Arial" w:hAnsi="Arial" w:cs="Arial"/>
                <w:sz w:val="24"/>
              </w:rPr>
            </w:pPr>
            <w:r>
              <w:rPr>
                <w:rFonts w:ascii="Arial" w:hAnsi="Arial" w:cs="Arial"/>
                <w:sz w:val="24"/>
              </w:rPr>
              <w:t>1</w:t>
            </w:r>
          </w:p>
        </w:tc>
        <w:tc>
          <w:tcPr>
            <w:tcW w:w="1703" w:type="dxa"/>
          </w:tcPr>
          <w:p w14:paraId="761F6C70" w14:textId="546BF9EB" w:rsidR="00443229" w:rsidRPr="00443229" w:rsidRDefault="00144AC0" w:rsidP="00D5523B">
            <w:pPr>
              <w:pStyle w:val="NoSpacing"/>
              <w:jc w:val="right"/>
              <w:rPr>
                <w:rFonts w:ascii="Arial" w:hAnsi="Arial" w:cs="Arial"/>
                <w:sz w:val="24"/>
                <w:szCs w:val="24"/>
              </w:rPr>
            </w:pPr>
            <w:r>
              <w:rPr>
                <w:rFonts w:ascii="Arial" w:hAnsi="Arial" w:cs="Arial"/>
                <w:sz w:val="24"/>
                <w:szCs w:val="24"/>
              </w:rPr>
              <w:t>£2,</w:t>
            </w:r>
            <w:r w:rsidR="00DA059F">
              <w:rPr>
                <w:rFonts w:ascii="Arial" w:hAnsi="Arial" w:cs="Arial"/>
                <w:sz w:val="24"/>
                <w:szCs w:val="24"/>
              </w:rPr>
              <w:t>854</w:t>
            </w:r>
          </w:p>
        </w:tc>
      </w:tr>
      <w:tr w:rsidR="00443229" w14:paraId="53503509" w14:textId="77777777" w:rsidTr="00443229">
        <w:tc>
          <w:tcPr>
            <w:tcW w:w="1530" w:type="dxa"/>
          </w:tcPr>
          <w:p w14:paraId="3913170E" w14:textId="77777777" w:rsidR="00443229" w:rsidRDefault="00443229" w:rsidP="00D5523B">
            <w:pPr>
              <w:pStyle w:val="NoSpacing"/>
              <w:rPr>
                <w:rFonts w:ascii="Arial" w:hAnsi="Arial" w:cs="Arial"/>
                <w:sz w:val="24"/>
              </w:rPr>
            </w:pPr>
            <w:r>
              <w:rPr>
                <w:rFonts w:ascii="Arial" w:hAnsi="Arial" w:cs="Arial"/>
                <w:sz w:val="24"/>
              </w:rPr>
              <w:t>2</w:t>
            </w:r>
          </w:p>
        </w:tc>
        <w:tc>
          <w:tcPr>
            <w:tcW w:w="1703" w:type="dxa"/>
          </w:tcPr>
          <w:p w14:paraId="2C683533" w14:textId="7A8D4106" w:rsidR="00443229" w:rsidRPr="00443229" w:rsidRDefault="00144AC0" w:rsidP="00D5523B">
            <w:pPr>
              <w:pStyle w:val="NoSpacing"/>
              <w:jc w:val="right"/>
              <w:rPr>
                <w:rFonts w:ascii="Arial" w:hAnsi="Arial" w:cs="Arial"/>
                <w:sz w:val="24"/>
                <w:szCs w:val="24"/>
              </w:rPr>
            </w:pPr>
            <w:r>
              <w:rPr>
                <w:rFonts w:ascii="Arial" w:hAnsi="Arial" w:cs="Arial"/>
                <w:sz w:val="24"/>
                <w:szCs w:val="24"/>
              </w:rPr>
              <w:t>£</w:t>
            </w:r>
            <w:r w:rsidR="00DA059F">
              <w:rPr>
                <w:rFonts w:ascii="Arial" w:hAnsi="Arial" w:cs="Arial"/>
                <w:sz w:val="24"/>
                <w:szCs w:val="24"/>
              </w:rPr>
              <w:t>6,510</w:t>
            </w:r>
          </w:p>
        </w:tc>
      </w:tr>
      <w:tr w:rsidR="00443229" w14:paraId="70B4816B" w14:textId="77777777" w:rsidTr="00443229">
        <w:tc>
          <w:tcPr>
            <w:tcW w:w="1530" w:type="dxa"/>
          </w:tcPr>
          <w:p w14:paraId="470F8651" w14:textId="77777777" w:rsidR="00443229" w:rsidRDefault="00443229" w:rsidP="00D5523B">
            <w:pPr>
              <w:pStyle w:val="NoSpacing"/>
              <w:rPr>
                <w:rFonts w:ascii="Arial" w:hAnsi="Arial" w:cs="Arial"/>
                <w:sz w:val="24"/>
              </w:rPr>
            </w:pPr>
            <w:r>
              <w:rPr>
                <w:rFonts w:ascii="Arial" w:hAnsi="Arial" w:cs="Arial"/>
                <w:sz w:val="24"/>
              </w:rPr>
              <w:t>3</w:t>
            </w:r>
          </w:p>
        </w:tc>
        <w:tc>
          <w:tcPr>
            <w:tcW w:w="1703" w:type="dxa"/>
          </w:tcPr>
          <w:p w14:paraId="39A0A86B" w14:textId="1055B4F8" w:rsidR="00443229" w:rsidRPr="00443229" w:rsidRDefault="00392475" w:rsidP="00D5523B">
            <w:pPr>
              <w:pStyle w:val="NoSpacing"/>
              <w:jc w:val="right"/>
              <w:rPr>
                <w:rFonts w:ascii="Arial" w:hAnsi="Arial" w:cs="Arial"/>
                <w:sz w:val="24"/>
                <w:szCs w:val="24"/>
              </w:rPr>
            </w:pPr>
            <w:r>
              <w:rPr>
                <w:rFonts w:ascii="Arial" w:hAnsi="Arial" w:cs="Arial"/>
                <w:sz w:val="24"/>
                <w:szCs w:val="24"/>
              </w:rPr>
              <w:t>£</w:t>
            </w:r>
            <w:r w:rsidR="00DA059F">
              <w:rPr>
                <w:rFonts w:ascii="Arial" w:hAnsi="Arial" w:cs="Arial"/>
                <w:sz w:val="24"/>
                <w:szCs w:val="24"/>
              </w:rPr>
              <w:t>9.850</w:t>
            </w:r>
          </w:p>
        </w:tc>
      </w:tr>
      <w:tr w:rsidR="00443229" w14:paraId="19774FCD" w14:textId="77777777" w:rsidTr="00443229">
        <w:tc>
          <w:tcPr>
            <w:tcW w:w="1530" w:type="dxa"/>
          </w:tcPr>
          <w:p w14:paraId="57D5CC39" w14:textId="77777777" w:rsidR="00443229" w:rsidRDefault="00443229" w:rsidP="00D5523B">
            <w:pPr>
              <w:pStyle w:val="NoSpacing"/>
              <w:rPr>
                <w:rFonts w:ascii="Arial" w:hAnsi="Arial" w:cs="Arial"/>
                <w:sz w:val="24"/>
              </w:rPr>
            </w:pPr>
            <w:r>
              <w:rPr>
                <w:rFonts w:ascii="Arial" w:hAnsi="Arial" w:cs="Arial"/>
                <w:sz w:val="24"/>
              </w:rPr>
              <w:t>4</w:t>
            </w:r>
          </w:p>
        </w:tc>
        <w:tc>
          <w:tcPr>
            <w:tcW w:w="1703" w:type="dxa"/>
          </w:tcPr>
          <w:p w14:paraId="40088557" w14:textId="71B51FB8" w:rsidR="00443229" w:rsidRPr="00443229" w:rsidRDefault="00392475" w:rsidP="00D5523B">
            <w:pPr>
              <w:pStyle w:val="NoSpacing"/>
              <w:jc w:val="right"/>
              <w:rPr>
                <w:rFonts w:ascii="Arial" w:hAnsi="Arial" w:cs="Arial"/>
                <w:sz w:val="24"/>
                <w:szCs w:val="24"/>
              </w:rPr>
            </w:pPr>
            <w:r>
              <w:rPr>
                <w:rFonts w:ascii="Arial" w:hAnsi="Arial" w:cs="Arial"/>
                <w:sz w:val="24"/>
                <w:szCs w:val="24"/>
              </w:rPr>
              <w:t>£</w:t>
            </w:r>
            <w:r w:rsidR="005946AA">
              <w:rPr>
                <w:rFonts w:ascii="Arial" w:hAnsi="Arial" w:cs="Arial"/>
                <w:sz w:val="24"/>
                <w:szCs w:val="24"/>
              </w:rPr>
              <w:t>13,921</w:t>
            </w:r>
          </w:p>
        </w:tc>
      </w:tr>
      <w:tr w:rsidR="00443229" w14:paraId="73055FF3" w14:textId="77777777" w:rsidTr="00443229">
        <w:tc>
          <w:tcPr>
            <w:tcW w:w="1530" w:type="dxa"/>
          </w:tcPr>
          <w:p w14:paraId="113D2B51" w14:textId="77777777" w:rsidR="00443229" w:rsidRDefault="00443229" w:rsidP="00D5523B">
            <w:pPr>
              <w:pStyle w:val="NoSpacing"/>
              <w:rPr>
                <w:rFonts w:ascii="Arial" w:hAnsi="Arial" w:cs="Arial"/>
                <w:sz w:val="24"/>
              </w:rPr>
            </w:pPr>
            <w:r>
              <w:rPr>
                <w:rFonts w:ascii="Arial" w:hAnsi="Arial" w:cs="Arial"/>
                <w:sz w:val="24"/>
              </w:rPr>
              <w:t>5</w:t>
            </w:r>
          </w:p>
        </w:tc>
        <w:tc>
          <w:tcPr>
            <w:tcW w:w="1703" w:type="dxa"/>
            <w:vMerge w:val="restart"/>
            <w:shd w:val="clear" w:color="auto" w:fill="F2F2F2" w:themeFill="background1" w:themeFillShade="F2"/>
            <w:vAlign w:val="center"/>
          </w:tcPr>
          <w:p w14:paraId="72B36C9C" w14:textId="77777777" w:rsidR="00443229" w:rsidRDefault="00443229" w:rsidP="00D5523B">
            <w:pPr>
              <w:pStyle w:val="NoSpacing"/>
              <w:jc w:val="right"/>
              <w:rPr>
                <w:rFonts w:ascii="Arial" w:hAnsi="Arial" w:cs="Arial"/>
                <w:sz w:val="24"/>
              </w:rPr>
            </w:pPr>
            <w:r>
              <w:rPr>
                <w:rFonts w:ascii="Arial" w:hAnsi="Arial" w:cs="Arial"/>
                <w:sz w:val="24"/>
              </w:rPr>
              <w:t>Exceptional Funding</w:t>
            </w:r>
          </w:p>
        </w:tc>
      </w:tr>
      <w:tr w:rsidR="00443229" w14:paraId="4FE9AB52" w14:textId="77777777" w:rsidTr="00443229">
        <w:tc>
          <w:tcPr>
            <w:tcW w:w="1530" w:type="dxa"/>
          </w:tcPr>
          <w:p w14:paraId="303EE7B6" w14:textId="77777777" w:rsidR="00443229" w:rsidRDefault="00443229" w:rsidP="00D5523B">
            <w:pPr>
              <w:pStyle w:val="NoSpacing"/>
              <w:rPr>
                <w:rFonts w:ascii="Arial" w:hAnsi="Arial" w:cs="Arial"/>
                <w:sz w:val="24"/>
              </w:rPr>
            </w:pPr>
            <w:r>
              <w:rPr>
                <w:rFonts w:ascii="Arial" w:hAnsi="Arial" w:cs="Arial"/>
                <w:sz w:val="24"/>
              </w:rPr>
              <w:t>6</w:t>
            </w:r>
          </w:p>
        </w:tc>
        <w:tc>
          <w:tcPr>
            <w:tcW w:w="1703" w:type="dxa"/>
            <w:vMerge/>
          </w:tcPr>
          <w:p w14:paraId="784C0376" w14:textId="77777777" w:rsidR="00443229" w:rsidRDefault="00443229" w:rsidP="00D5523B">
            <w:pPr>
              <w:pStyle w:val="NoSpacing"/>
              <w:jc w:val="right"/>
              <w:rPr>
                <w:rFonts w:ascii="Arial" w:hAnsi="Arial" w:cs="Arial"/>
                <w:sz w:val="24"/>
              </w:rPr>
            </w:pPr>
          </w:p>
        </w:tc>
      </w:tr>
    </w:tbl>
    <w:p w14:paraId="41ED311D" w14:textId="77777777" w:rsidR="00443229" w:rsidRPr="00EC5F53" w:rsidRDefault="00443229" w:rsidP="00D5523B">
      <w:pPr>
        <w:pStyle w:val="NoSpacing"/>
        <w:rPr>
          <w:rFonts w:ascii="Arial" w:hAnsi="Arial" w:cs="Arial"/>
          <w:sz w:val="24"/>
        </w:rPr>
      </w:pPr>
    </w:p>
    <w:p w14:paraId="67F1BC51" w14:textId="748F4058" w:rsidR="001A44EE" w:rsidRDefault="00385314" w:rsidP="00D5523B">
      <w:pPr>
        <w:pStyle w:val="NoSpacing"/>
        <w:rPr>
          <w:rFonts w:ascii="Arial" w:hAnsi="Arial" w:cs="Arial"/>
          <w:sz w:val="24"/>
        </w:rPr>
      </w:pPr>
      <w:r>
        <w:rPr>
          <w:rFonts w:ascii="Arial" w:hAnsi="Arial" w:cs="Arial"/>
          <w:sz w:val="24"/>
        </w:rPr>
        <w:t>Top up a</w:t>
      </w:r>
      <w:r w:rsidR="00C76443">
        <w:rPr>
          <w:rFonts w:ascii="Arial" w:hAnsi="Arial" w:cs="Arial"/>
          <w:sz w:val="24"/>
        </w:rPr>
        <w:t xml:space="preserve">llocations will include </w:t>
      </w:r>
      <w:r w:rsidR="001A44EE" w:rsidRPr="00BB12E8">
        <w:rPr>
          <w:rFonts w:ascii="Arial" w:hAnsi="Arial" w:cs="Arial"/>
          <w:sz w:val="24"/>
        </w:rPr>
        <w:t xml:space="preserve">part year (April to August) </w:t>
      </w:r>
      <w:r w:rsidR="00C76443">
        <w:rPr>
          <w:rFonts w:ascii="Arial" w:hAnsi="Arial" w:cs="Arial"/>
          <w:sz w:val="24"/>
        </w:rPr>
        <w:t>adjustments</w:t>
      </w:r>
      <w:r w:rsidR="00B9163F">
        <w:rPr>
          <w:rFonts w:ascii="Arial" w:hAnsi="Arial" w:cs="Arial"/>
          <w:sz w:val="24"/>
        </w:rPr>
        <w:t xml:space="preserve"> for:</w:t>
      </w:r>
    </w:p>
    <w:p w14:paraId="3FD24D63" w14:textId="77777777" w:rsidR="001A44EE" w:rsidRPr="00BB12E8" w:rsidRDefault="001A44EE" w:rsidP="00D5523B">
      <w:pPr>
        <w:pStyle w:val="NoSpacing"/>
        <w:ind w:left="360"/>
        <w:rPr>
          <w:rFonts w:ascii="Arial" w:hAnsi="Arial" w:cs="Arial"/>
          <w:sz w:val="24"/>
        </w:rPr>
      </w:pPr>
    </w:p>
    <w:p w14:paraId="01EFA044" w14:textId="77777777" w:rsidR="001A44EE" w:rsidRPr="00E875B3" w:rsidRDefault="00741399" w:rsidP="00D5523B">
      <w:pPr>
        <w:pStyle w:val="NoSpacing"/>
        <w:rPr>
          <w:rFonts w:ascii="Arial" w:hAnsi="Arial" w:cs="Arial"/>
          <w:b/>
          <w:sz w:val="24"/>
          <w:u w:val="single"/>
        </w:rPr>
      </w:pPr>
      <w:r w:rsidRPr="00E875B3">
        <w:rPr>
          <w:rFonts w:ascii="Arial" w:hAnsi="Arial" w:cs="Arial"/>
          <w:b/>
          <w:sz w:val="24"/>
          <w:u w:val="single"/>
        </w:rPr>
        <w:t>Infants/Junior/</w:t>
      </w:r>
      <w:r w:rsidR="001A44EE" w:rsidRPr="00E875B3">
        <w:rPr>
          <w:rFonts w:ascii="Arial" w:hAnsi="Arial" w:cs="Arial"/>
          <w:b/>
          <w:sz w:val="24"/>
          <w:u w:val="single"/>
        </w:rPr>
        <w:t>Primary</w:t>
      </w:r>
    </w:p>
    <w:p w14:paraId="60E40740" w14:textId="77777777" w:rsidR="001A44EE" w:rsidRPr="00BB12E8" w:rsidRDefault="001A44EE" w:rsidP="00D5523B">
      <w:pPr>
        <w:pStyle w:val="NoSpacing"/>
        <w:ind w:left="360"/>
        <w:rPr>
          <w:rFonts w:ascii="Arial" w:hAnsi="Arial" w:cs="Arial"/>
          <w:sz w:val="24"/>
        </w:rPr>
      </w:pPr>
    </w:p>
    <w:p w14:paraId="26F70516" w14:textId="77777777" w:rsidR="002D1E7B" w:rsidRPr="002D1E7B" w:rsidRDefault="001A44EE" w:rsidP="00D5523B">
      <w:pPr>
        <w:pStyle w:val="ListParagraph"/>
        <w:numPr>
          <w:ilvl w:val="0"/>
          <w:numId w:val="3"/>
        </w:numPr>
        <w:spacing w:line="240" w:lineRule="auto"/>
        <w:ind w:left="1134" w:hanging="567"/>
        <w:rPr>
          <w:rFonts w:ascii="Arial" w:hAnsi="Arial" w:cs="Arial"/>
          <w:sz w:val="24"/>
        </w:rPr>
      </w:pPr>
      <w:r w:rsidRPr="002D1E7B">
        <w:rPr>
          <w:rFonts w:ascii="Arial" w:hAnsi="Arial" w:cs="Arial"/>
          <w:sz w:val="24"/>
          <w:szCs w:val="24"/>
        </w:rPr>
        <w:t>Year 6 high needs pupils where transfer to secondary schools is anticipated</w:t>
      </w:r>
    </w:p>
    <w:p w14:paraId="6D8AD782" w14:textId="77777777" w:rsidR="002D1E7B" w:rsidRPr="002D1E7B" w:rsidRDefault="002D1E7B" w:rsidP="00D5523B">
      <w:pPr>
        <w:pStyle w:val="ListParagraph"/>
        <w:spacing w:line="240" w:lineRule="auto"/>
        <w:ind w:left="1134" w:hanging="567"/>
        <w:rPr>
          <w:rFonts w:ascii="Arial" w:hAnsi="Arial" w:cs="Arial"/>
          <w:sz w:val="24"/>
        </w:rPr>
      </w:pPr>
    </w:p>
    <w:p w14:paraId="027A911D" w14:textId="77777777" w:rsidR="002C2995" w:rsidRPr="002D1E7B" w:rsidRDefault="00950DCC" w:rsidP="78065883">
      <w:pPr>
        <w:pStyle w:val="ListParagraph"/>
        <w:numPr>
          <w:ilvl w:val="0"/>
          <w:numId w:val="3"/>
        </w:numPr>
        <w:spacing w:line="240" w:lineRule="auto"/>
        <w:ind w:left="1134" w:hanging="567"/>
        <w:rPr>
          <w:rFonts w:ascii="Arial" w:hAnsi="Arial" w:cs="Arial"/>
          <w:sz w:val="24"/>
          <w:szCs w:val="24"/>
        </w:rPr>
      </w:pPr>
      <w:r w:rsidRPr="78065883">
        <w:rPr>
          <w:rFonts w:ascii="Arial" w:hAnsi="Arial" w:cs="Arial"/>
          <w:sz w:val="24"/>
          <w:szCs w:val="24"/>
        </w:rPr>
        <w:t>Year 2 high needs pupils attending infant schools where transfer to junior school is anticipated</w:t>
      </w:r>
    </w:p>
    <w:p w14:paraId="331DB4D1" w14:textId="77777777" w:rsidR="001A44EE" w:rsidRPr="00E875B3" w:rsidRDefault="00741399" w:rsidP="00D5523B">
      <w:pPr>
        <w:pStyle w:val="NoSpacing"/>
        <w:rPr>
          <w:rFonts w:ascii="Arial" w:hAnsi="Arial" w:cs="Arial"/>
          <w:b/>
          <w:sz w:val="24"/>
          <w:u w:val="single"/>
        </w:rPr>
      </w:pPr>
      <w:r w:rsidRPr="00E875B3">
        <w:rPr>
          <w:rFonts w:ascii="Arial" w:hAnsi="Arial" w:cs="Arial"/>
          <w:b/>
          <w:sz w:val="24"/>
          <w:u w:val="single"/>
        </w:rPr>
        <w:t>Secondary</w:t>
      </w:r>
    </w:p>
    <w:p w14:paraId="15AE8102" w14:textId="77777777" w:rsidR="001A44EE" w:rsidRPr="00BB12E8" w:rsidRDefault="001A44EE" w:rsidP="00D5523B">
      <w:pPr>
        <w:pStyle w:val="NoSpacing"/>
        <w:ind w:left="360"/>
        <w:rPr>
          <w:rFonts w:ascii="Arial" w:hAnsi="Arial" w:cs="Arial"/>
          <w:sz w:val="24"/>
        </w:rPr>
      </w:pPr>
    </w:p>
    <w:p w14:paraId="6297F45A" w14:textId="28CA13CB" w:rsidR="00800BD4" w:rsidRPr="000B7B3F" w:rsidRDefault="001A44EE" w:rsidP="00D5523B">
      <w:pPr>
        <w:pStyle w:val="ListParagraph"/>
        <w:numPr>
          <w:ilvl w:val="0"/>
          <w:numId w:val="3"/>
        </w:numPr>
        <w:spacing w:line="240" w:lineRule="auto"/>
        <w:ind w:left="1134" w:hanging="567"/>
        <w:rPr>
          <w:rFonts w:ascii="Arial" w:hAnsi="Arial" w:cs="Arial"/>
          <w:sz w:val="24"/>
          <w:szCs w:val="24"/>
        </w:rPr>
      </w:pPr>
      <w:r w:rsidRPr="78065883">
        <w:rPr>
          <w:rFonts w:ascii="Arial" w:hAnsi="Arial" w:cs="Arial"/>
          <w:sz w:val="24"/>
          <w:szCs w:val="24"/>
        </w:rPr>
        <w:t xml:space="preserve">Year 11 </w:t>
      </w:r>
      <w:r w:rsidR="00950DCC" w:rsidRPr="78065883">
        <w:rPr>
          <w:rFonts w:ascii="Arial" w:hAnsi="Arial" w:cs="Arial"/>
          <w:sz w:val="24"/>
          <w:szCs w:val="24"/>
        </w:rPr>
        <w:t xml:space="preserve">&amp; 13 </w:t>
      </w:r>
      <w:r w:rsidRPr="78065883">
        <w:rPr>
          <w:rFonts w:ascii="Arial" w:hAnsi="Arial" w:cs="Arial"/>
          <w:sz w:val="24"/>
          <w:szCs w:val="24"/>
        </w:rPr>
        <w:t xml:space="preserve">high needs pupils where leaving school at end of </w:t>
      </w:r>
      <w:r w:rsidR="00BB12E8" w:rsidRPr="78065883">
        <w:rPr>
          <w:rFonts w:ascii="Arial" w:hAnsi="Arial" w:cs="Arial"/>
          <w:sz w:val="24"/>
          <w:szCs w:val="24"/>
        </w:rPr>
        <w:t>20</w:t>
      </w:r>
      <w:r w:rsidR="00CA6578" w:rsidRPr="78065883">
        <w:rPr>
          <w:rFonts w:ascii="Arial" w:hAnsi="Arial" w:cs="Arial"/>
          <w:sz w:val="24"/>
          <w:szCs w:val="24"/>
        </w:rPr>
        <w:t>2</w:t>
      </w:r>
      <w:r w:rsidR="00AC0F01">
        <w:rPr>
          <w:rFonts w:ascii="Arial" w:hAnsi="Arial" w:cs="Arial"/>
          <w:sz w:val="24"/>
          <w:szCs w:val="24"/>
        </w:rPr>
        <w:t>5</w:t>
      </w:r>
      <w:r w:rsidR="005946AA">
        <w:rPr>
          <w:rFonts w:ascii="Arial" w:hAnsi="Arial" w:cs="Arial"/>
          <w:sz w:val="24"/>
          <w:szCs w:val="24"/>
        </w:rPr>
        <w:t>-</w:t>
      </w:r>
      <w:r w:rsidR="000675D4" w:rsidRPr="78065883">
        <w:rPr>
          <w:rFonts w:ascii="Arial" w:hAnsi="Arial" w:cs="Arial"/>
          <w:sz w:val="24"/>
          <w:szCs w:val="24"/>
        </w:rPr>
        <w:t>2</w:t>
      </w:r>
      <w:r w:rsidR="00AC0F01">
        <w:rPr>
          <w:rFonts w:ascii="Arial" w:hAnsi="Arial" w:cs="Arial"/>
          <w:sz w:val="24"/>
          <w:szCs w:val="24"/>
        </w:rPr>
        <w:t>6</w:t>
      </w:r>
      <w:r w:rsidRPr="78065883">
        <w:rPr>
          <w:rFonts w:ascii="Arial" w:hAnsi="Arial" w:cs="Arial"/>
          <w:sz w:val="24"/>
          <w:szCs w:val="24"/>
        </w:rPr>
        <w:t xml:space="preserve"> Academic Year is anticipated</w:t>
      </w:r>
    </w:p>
    <w:p w14:paraId="7A861D99" w14:textId="587F8713" w:rsidR="00EA7DFB" w:rsidRDefault="006F4311" w:rsidP="00D5523B">
      <w:pPr>
        <w:pStyle w:val="NoSpacing"/>
        <w:rPr>
          <w:rFonts w:ascii="Arial" w:hAnsi="Arial" w:cs="Arial"/>
          <w:sz w:val="24"/>
        </w:rPr>
      </w:pPr>
      <w:r w:rsidRPr="006F4311">
        <w:rPr>
          <w:rFonts w:ascii="Arial" w:hAnsi="Arial" w:cs="Arial"/>
          <w:sz w:val="24"/>
        </w:rPr>
        <w:t xml:space="preserve">The </w:t>
      </w:r>
      <w:r w:rsidR="002D50C3" w:rsidRPr="006F4311">
        <w:rPr>
          <w:rFonts w:ascii="Arial" w:hAnsi="Arial" w:cs="Arial"/>
          <w:sz w:val="24"/>
        </w:rPr>
        <w:t>top up funding allocation at pupil level</w:t>
      </w:r>
      <w:r w:rsidRPr="006F4311">
        <w:rPr>
          <w:rFonts w:ascii="Arial" w:hAnsi="Arial" w:cs="Arial"/>
          <w:sz w:val="24"/>
        </w:rPr>
        <w:t xml:space="preserve"> will </w:t>
      </w:r>
      <w:r w:rsidR="00FF0BF4" w:rsidRPr="21DFFC41">
        <w:rPr>
          <w:rFonts w:ascii="Arial" w:hAnsi="Arial" w:cs="Arial"/>
          <w:sz w:val="24"/>
          <w:szCs w:val="24"/>
        </w:rPr>
        <w:t xml:space="preserve">be </w:t>
      </w:r>
      <w:r w:rsidR="00FF0BF4">
        <w:rPr>
          <w:rFonts w:ascii="Arial" w:hAnsi="Arial" w:cs="Arial"/>
          <w:sz w:val="24"/>
          <w:szCs w:val="24"/>
        </w:rPr>
        <w:t>published</w:t>
      </w:r>
      <w:r w:rsidR="00FF0BF4" w:rsidRPr="21DFFC41">
        <w:rPr>
          <w:rFonts w:ascii="Arial" w:hAnsi="Arial" w:cs="Arial"/>
          <w:sz w:val="24"/>
          <w:szCs w:val="24"/>
        </w:rPr>
        <w:t xml:space="preserve"> in April</w:t>
      </w:r>
      <w:r w:rsidR="00FF0BF4">
        <w:rPr>
          <w:rFonts w:ascii="Arial" w:hAnsi="Arial" w:cs="Arial"/>
          <w:sz w:val="24"/>
          <w:szCs w:val="24"/>
        </w:rPr>
        <w:t xml:space="preserve"> </w:t>
      </w:r>
      <w:r w:rsidRPr="006F4311">
        <w:rPr>
          <w:rFonts w:ascii="Arial" w:hAnsi="Arial" w:cs="Arial"/>
          <w:sz w:val="24"/>
        </w:rPr>
        <w:t>via</w:t>
      </w:r>
      <w:r w:rsidR="002D50C3">
        <w:t xml:space="preserve"> </w:t>
      </w:r>
      <w:hyperlink r:id="rId19" w:history="1">
        <w:r w:rsidR="00662D55">
          <w:rPr>
            <w:rStyle w:val="Hyperlink"/>
            <w:rFonts w:ascii="Arial" w:hAnsi="Arial" w:cs="Arial"/>
            <w:sz w:val="24"/>
            <w:szCs w:val="20"/>
          </w:rPr>
          <w:t>Perspective Lite</w:t>
        </w:r>
      </w:hyperlink>
      <w:r w:rsidR="00BF4946">
        <w:rPr>
          <w:rStyle w:val="Hyperlink"/>
          <w:rFonts w:ascii="Arial" w:hAnsi="Arial" w:cs="Arial"/>
          <w:sz w:val="24"/>
          <w:szCs w:val="20"/>
        </w:rPr>
        <w:t>.</w:t>
      </w:r>
      <w:r w:rsidR="00BF4946">
        <w:rPr>
          <w:rFonts w:ascii="Arial" w:hAnsi="Arial" w:cs="Arial"/>
          <w:sz w:val="24"/>
        </w:rPr>
        <w:t xml:space="preserve"> </w:t>
      </w:r>
    </w:p>
    <w:p w14:paraId="3529FA9D" w14:textId="77777777" w:rsidR="00FF0BF4" w:rsidRPr="002060C0" w:rsidRDefault="00FF0BF4" w:rsidP="00D5523B">
      <w:pPr>
        <w:pStyle w:val="NoSpacing"/>
        <w:rPr>
          <w:rFonts w:ascii="Arial" w:hAnsi="Arial" w:cs="Arial"/>
          <w:sz w:val="24"/>
        </w:rPr>
      </w:pPr>
    </w:p>
    <w:p w14:paraId="24EDFC6C" w14:textId="48B5D647" w:rsidR="00EA7DFB" w:rsidRPr="00FA6E42" w:rsidRDefault="00EA7DFB" w:rsidP="00D5523B">
      <w:pPr>
        <w:pStyle w:val="NoSpacing"/>
        <w:rPr>
          <w:rFonts w:ascii="Arial" w:hAnsi="Arial" w:cs="Arial"/>
          <w:sz w:val="24"/>
        </w:rPr>
      </w:pPr>
      <w:r w:rsidRPr="00FA6E42">
        <w:rPr>
          <w:rFonts w:ascii="Arial" w:hAnsi="Arial" w:cs="Arial"/>
          <w:sz w:val="24"/>
        </w:rPr>
        <w:t xml:space="preserve">Perspective Lite is a </w:t>
      </w:r>
      <w:r w:rsidR="008F0DE4" w:rsidRPr="00FA6E42">
        <w:rPr>
          <w:rFonts w:ascii="Arial" w:hAnsi="Arial" w:cs="Arial"/>
          <w:sz w:val="24"/>
        </w:rPr>
        <w:t>web-based</w:t>
      </w:r>
      <w:r w:rsidRPr="00FA6E42">
        <w:rPr>
          <w:rFonts w:ascii="Arial" w:hAnsi="Arial" w:cs="Arial"/>
          <w:sz w:val="24"/>
        </w:rPr>
        <w:t xml:space="preserve"> system/tool which </w:t>
      </w:r>
      <w:r>
        <w:rPr>
          <w:rFonts w:ascii="Arial" w:hAnsi="Arial" w:cs="Arial"/>
          <w:sz w:val="24"/>
        </w:rPr>
        <w:t xml:space="preserve">allows the secure transfer of files between schools and the LA. It also </w:t>
      </w:r>
      <w:r w:rsidRPr="00FA6E42">
        <w:rPr>
          <w:rFonts w:ascii="Arial" w:hAnsi="Arial" w:cs="Arial"/>
          <w:sz w:val="24"/>
        </w:rPr>
        <w:t xml:space="preserve">provides live headline key stage data as well as news bulletins, amongst </w:t>
      </w:r>
      <w:r>
        <w:rPr>
          <w:rFonts w:ascii="Arial" w:hAnsi="Arial" w:cs="Arial"/>
          <w:sz w:val="24"/>
        </w:rPr>
        <w:t xml:space="preserve">some other useful functionality and is available to purchase via your </w:t>
      </w:r>
      <w:hyperlink r:id="rId20" w:history="1">
        <w:r w:rsidRPr="00EA7DFB">
          <w:rPr>
            <w:rStyle w:val="Hyperlink"/>
            <w:rFonts w:ascii="Arial" w:hAnsi="Arial" w:cs="Arial"/>
            <w:sz w:val="24"/>
          </w:rPr>
          <w:t>GCC Plus traded services account</w:t>
        </w:r>
      </w:hyperlink>
      <w:r>
        <w:rPr>
          <w:rFonts w:ascii="Arial" w:hAnsi="Arial" w:cs="Arial"/>
          <w:sz w:val="24"/>
        </w:rPr>
        <w:t>.</w:t>
      </w:r>
    </w:p>
    <w:p w14:paraId="58F986E9" w14:textId="77777777" w:rsidR="00EA7DFB" w:rsidRDefault="00EA7DFB" w:rsidP="00D5523B">
      <w:pPr>
        <w:pStyle w:val="NoSpacing"/>
        <w:ind w:left="360"/>
        <w:rPr>
          <w:rStyle w:val="Hyperlink"/>
          <w:rFonts w:ascii="Arial" w:hAnsi="Arial" w:cs="Arial"/>
          <w:sz w:val="24"/>
          <w:szCs w:val="20"/>
          <w:u w:val="none"/>
        </w:rPr>
      </w:pPr>
    </w:p>
    <w:p w14:paraId="7F74F7EE" w14:textId="40934CBB" w:rsidR="009422F3" w:rsidRDefault="00EA7DFB" w:rsidP="00D5523B">
      <w:pPr>
        <w:pStyle w:val="NoSpacing"/>
        <w:rPr>
          <w:rStyle w:val="Hyperlink"/>
          <w:rFonts w:ascii="Arial" w:hAnsi="Arial" w:cs="Arial"/>
          <w:color w:val="auto"/>
          <w:sz w:val="24"/>
          <w:szCs w:val="24"/>
          <w:u w:val="none"/>
        </w:rPr>
      </w:pPr>
      <w:r w:rsidRPr="3B954121">
        <w:rPr>
          <w:rFonts w:ascii="Arial" w:hAnsi="Arial" w:cs="Arial"/>
          <w:sz w:val="24"/>
          <w:szCs w:val="24"/>
        </w:rPr>
        <w:t>The top up funding allocation at pupil level file will be called</w:t>
      </w:r>
      <w:r w:rsidRPr="3B954121">
        <w:rPr>
          <w:rStyle w:val="Hyperlink"/>
          <w:rFonts w:ascii="Arial" w:hAnsi="Arial" w:cs="Arial"/>
          <w:color w:val="auto"/>
          <w:sz w:val="24"/>
          <w:szCs w:val="24"/>
          <w:u w:val="none"/>
        </w:rPr>
        <w:t xml:space="preserve"> </w:t>
      </w:r>
      <w:r w:rsidRPr="3B954121">
        <w:rPr>
          <w:rStyle w:val="Hyperlink"/>
          <w:rFonts w:ascii="Arial" w:hAnsi="Arial" w:cs="Arial"/>
          <w:b/>
          <w:bCs/>
          <w:color w:val="auto"/>
          <w:sz w:val="24"/>
          <w:szCs w:val="24"/>
          <w:u w:val="none"/>
        </w:rPr>
        <w:t>916nnnn_</w:t>
      </w:r>
      <w:r w:rsidR="009E47DC" w:rsidRPr="3B954121">
        <w:rPr>
          <w:rStyle w:val="Hyperlink"/>
          <w:rFonts w:ascii="Arial" w:hAnsi="Arial" w:cs="Arial"/>
          <w:b/>
          <w:bCs/>
          <w:color w:val="auto"/>
          <w:sz w:val="24"/>
          <w:szCs w:val="24"/>
          <w:u w:val="none"/>
        </w:rPr>
        <w:t>2</w:t>
      </w:r>
      <w:r w:rsidR="005E2359">
        <w:rPr>
          <w:rStyle w:val="Hyperlink"/>
          <w:rFonts w:ascii="Arial" w:hAnsi="Arial" w:cs="Arial"/>
          <w:b/>
          <w:bCs/>
          <w:color w:val="auto"/>
          <w:sz w:val="24"/>
          <w:szCs w:val="24"/>
          <w:u w:val="none"/>
        </w:rPr>
        <w:t>6</w:t>
      </w:r>
      <w:r w:rsidR="009E47DC" w:rsidRPr="3B954121">
        <w:rPr>
          <w:rStyle w:val="Hyperlink"/>
          <w:rFonts w:ascii="Arial" w:hAnsi="Arial" w:cs="Arial"/>
          <w:b/>
          <w:bCs/>
          <w:color w:val="auto"/>
          <w:sz w:val="24"/>
          <w:szCs w:val="24"/>
          <w:u w:val="none"/>
        </w:rPr>
        <w:t>2</w:t>
      </w:r>
      <w:r w:rsidR="005E2359">
        <w:rPr>
          <w:rStyle w:val="Hyperlink"/>
          <w:rFonts w:ascii="Arial" w:hAnsi="Arial" w:cs="Arial"/>
          <w:b/>
          <w:bCs/>
          <w:color w:val="auto"/>
          <w:sz w:val="24"/>
          <w:szCs w:val="24"/>
          <w:u w:val="none"/>
        </w:rPr>
        <w:t>7</w:t>
      </w:r>
      <w:r w:rsidR="00235945" w:rsidRPr="3B954121">
        <w:rPr>
          <w:rStyle w:val="Hyperlink"/>
          <w:rFonts w:ascii="Arial" w:hAnsi="Arial" w:cs="Arial"/>
          <w:b/>
          <w:bCs/>
          <w:color w:val="auto"/>
          <w:sz w:val="24"/>
          <w:szCs w:val="24"/>
          <w:u w:val="none"/>
        </w:rPr>
        <w:t>[Month]</w:t>
      </w:r>
      <w:r w:rsidRPr="3B954121">
        <w:rPr>
          <w:rStyle w:val="Hyperlink"/>
          <w:rFonts w:ascii="Arial" w:hAnsi="Arial" w:cs="Arial"/>
          <w:b/>
          <w:bCs/>
          <w:color w:val="auto"/>
          <w:sz w:val="24"/>
          <w:szCs w:val="24"/>
          <w:u w:val="none"/>
        </w:rPr>
        <w:t>HNTopUp</w:t>
      </w:r>
      <w:r w:rsidR="00E929AD" w:rsidRPr="3B954121">
        <w:rPr>
          <w:rStyle w:val="Hyperlink"/>
          <w:rFonts w:ascii="Arial" w:hAnsi="Arial" w:cs="Arial"/>
          <w:b/>
          <w:bCs/>
          <w:color w:val="auto"/>
          <w:sz w:val="24"/>
          <w:szCs w:val="24"/>
          <w:u w:val="none"/>
        </w:rPr>
        <w:t>Funding</w:t>
      </w:r>
      <w:r w:rsidRPr="3B954121">
        <w:rPr>
          <w:rStyle w:val="Hyperlink"/>
          <w:rFonts w:ascii="Arial" w:hAnsi="Arial" w:cs="Arial"/>
          <w:b/>
          <w:bCs/>
          <w:color w:val="auto"/>
          <w:sz w:val="24"/>
          <w:szCs w:val="24"/>
          <w:u w:val="none"/>
        </w:rPr>
        <w:t>.xlsx</w:t>
      </w:r>
      <w:r w:rsidRPr="3B954121">
        <w:rPr>
          <w:rStyle w:val="Hyperlink"/>
          <w:rFonts w:ascii="Arial" w:hAnsi="Arial" w:cs="Arial"/>
          <w:color w:val="auto"/>
          <w:sz w:val="24"/>
          <w:szCs w:val="24"/>
          <w:u w:val="none"/>
        </w:rPr>
        <w:t xml:space="preserve"> where nnnn is your school DfE number.</w:t>
      </w:r>
    </w:p>
    <w:p w14:paraId="230A7275" w14:textId="77777777" w:rsidR="00BA432F" w:rsidRDefault="00BA432F" w:rsidP="00D5523B">
      <w:pPr>
        <w:pStyle w:val="NoSpacing"/>
        <w:ind w:left="360"/>
        <w:rPr>
          <w:rFonts w:ascii="Arial" w:hAnsi="Arial" w:cs="Arial"/>
          <w:sz w:val="24"/>
        </w:rPr>
      </w:pPr>
    </w:p>
    <w:p w14:paraId="62D5C6A6" w14:textId="77777777" w:rsidR="00BA432F" w:rsidRPr="0098129D" w:rsidRDefault="00BA432F" w:rsidP="00D5523B">
      <w:pPr>
        <w:pStyle w:val="NoSpacing"/>
        <w:rPr>
          <w:rFonts w:ascii="Arial" w:hAnsi="Arial" w:cs="Arial"/>
          <w:b/>
          <w:sz w:val="24"/>
          <w:u w:val="single"/>
        </w:rPr>
      </w:pPr>
      <w:r w:rsidRPr="0098129D">
        <w:rPr>
          <w:rFonts w:ascii="Arial" w:hAnsi="Arial" w:cs="Arial"/>
          <w:b/>
          <w:sz w:val="24"/>
          <w:u w:val="single"/>
        </w:rPr>
        <w:t>Adjustments to</w:t>
      </w:r>
      <w:r>
        <w:rPr>
          <w:rFonts w:ascii="Arial" w:hAnsi="Arial" w:cs="Arial"/>
          <w:b/>
          <w:sz w:val="24"/>
          <w:u w:val="single"/>
        </w:rPr>
        <w:t xml:space="preserve"> High Needs Funding during the F</w:t>
      </w:r>
      <w:r w:rsidRPr="0098129D">
        <w:rPr>
          <w:rFonts w:ascii="Arial" w:hAnsi="Arial" w:cs="Arial"/>
          <w:b/>
          <w:sz w:val="24"/>
          <w:u w:val="single"/>
        </w:rPr>
        <w:t xml:space="preserve">inancial </w:t>
      </w:r>
      <w:r>
        <w:rPr>
          <w:rFonts w:ascii="Arial" w:hAnsi="Arial" w:cs="Arial"/>
          <w:b/>
          <w:sz w:val="24"/>
          <w:u w:val="single"/>
        </w:rPr>
        <w:t>Y</w:t>
      </w:r>
      <w:r w:rsidRPr="0098129D">
        <w:rPr>
          <w:rFonts w:ascii="Arial" w:hAnsi="Arial" w:cs="Arial"/>
          <w:b/>
          <w:sz w:val="24"/>
          <w:u w:val="single"/>
        </w:rPr>
        <w:t>ear</w:t>
      </w:r>
    </w:p>
    <w:p w14:paraId="3E32A778" w14:textId="77777777" w:rsidR="00BA432F" w:rsidRDefault="00BA432F" w:rsidP="00D5523B">
      <w:pPr>
        <w:pStyle w:val="NoSpacing"/>
        <w:ind w:left="426"/>
        <w:rPr>
          <w:rFonts w:ascii="Arial" w:hAnsi="Arial" w:cs="Arial"/>
          <w:sz w:val="24"/>
          <w:u w:val="single"/>
        </w:rPr>
      </w:pPr>
    </w:p>
    <w:p w14:paraId="55579A7F" w14:textId="60211E00" w:rsidR="00D100AC" w:rsidRDefault="00BA432F" w:rsidP="00D5523B">
      <w:pPr>
        <w:pStyle w:val="NoSpacing"/>
        <w:rPr>
          <w:rFonts w:ascii="Arial" w:hAnsi="Arial" w:cs="Arial"/>
          <w:sz w:val="24"/>
        </w:rPr>
      </w:pPr>
      <w:r w:rsidRPr="00B9163F">
        <w:rPr>
          <w:rFonts w:ascii="Arial" w:hAnsi="Arial" w:cs="Arial"/>
          <w:sz w:val="24"/>
        </w:rPr>
        <w:t>Schools are reminded that the funding from the High Needs Block will fluctuate throughout the year as pupils and statements change</w:t>
      </w:r>
      <w:r>
        <w:rPr>
          <w:rFonts w:ascii="Arial" w:hAnsi="Arial" w:cs="Arial"/>
          <w:sz w:val="24"/>
        </w:rPr>
        <w:t>, for example:</w:t>
      </w:r>
    </w:p>
    <w:p w14:paraId="1CCEE596" w14:textId="77777777" w:rsidR="00BA432F" w:rsidRDefault="00BA432F" w:rsidP="00D5523B">
      <w:pPr>
        <w:pStyle w:val="NoSpacing"/>
        <w:ind w:left="426"/>
        <w:rPr>
          <w:rFonts w:ascii="Arial" w:hAnsi="Arial" w:cs="Arial"/>
          <w:sz w:val="24"/>
        </w:rPr>
      </w:pPr>
    </w:p>
    <w:p w14:paraId="484A711A" w14:textId="77777777" w:rsidR="00BA432F" w:rsidRDefault="00BA432F" w:rsidP="00D5523B">
      <w:pPr>
        <w:pStyle w:val="ListParagraph"/>
        <w:numPr>
          <w:ilvl w:val="0"/>
          <w:numId w:val="3"/>
        </w:numPr>
        <w:spacing w:line="240" w:lineRule="auto"/>
        <w:ind w:left="567" w:hanging="567"/>
        <w:rPr>
          <w:rFonts w:ascii="Arial" w:hAnsi="Arial" w:cs="Arial"/>
          <w:sz w:val="24"/>
          <w:szCs w:val="24"/>
        </w:rPr>
      </w:pPr>
      <w:r w:rsidRPr="00DD4BA3">
        <w:rPr>
          <w:rFonts w:ascii="Arial" w:hAnsi="Arial" w:cs="Arial"/>
          <w:sz w:val="24"/>
          <w:szCs w:val="24"/>
        </w:rPr>
        <w:t xml:space="preserve">Adjustments will take place where more up-to-date information about pupil transfers becomes available. As budgets can only be based on the most up-to-date information available when issued, there may be some changes </w:t>
      </w:r>
      <w:r>
        <w:rPr>
          <w:rFonts w:ascii="Arial" w:hAnsi="Arial" w:cs="Arial"/>
          <w:sz w:val="24"/>
          <w:szCs w:val="24"/>
        </w:rPr>
        <w:t xml:space="preserve">necessary during the year </w:t>
      </w:r>
      <w:r w:rsidRPr="00DD4BA3">
        <w:rPr>
          <w:rFonts w:ascii="Arial" w:hAnsi="Arial" w:cs="Arial"/>
          <w:sz w:val="24"/>
          <w:szCs w:val="24"/>
        </w:rPr>
        <w:t>e.g. year 7 transfers, pupils in year 11 move into the sixth form etc.</w:t>
      </w:r>
    </w:p>
    <w:p w14:paraId="6AE1C277" w14:textId="77777777" w:rsidR="00BA432F" w:rsidRPr="00DD4BA3" w:rsidRDefault="00BA432F" w:rsidP="00D5523B">
      <w:pPr>
        <w:pStyle w:val="ListParagraph"/>
        <w:spacing w:line="240" w:lineRule="auto"/>
        <w:ind w:left="567" w:hanging="567"/>
        <w:rPr>
          <w:rFonts w:ascii="Arial" w:hAnsi="Arial" w:cs="Arial"/>
          <w:sz w:val="24"/>
          <w:szCs w:val="24"/>
        </w:rPr>
      </w:pPr>
    </w:p>
    <w:p w14:paraId="71EE4F21" w14:textId="77777777" w:rsidR="00BA432F" w:rsidRDefault="00BA432F" w:rsidP="00D5523B">
      <w:pPr>
        <w:pStyle w:val="ListParagraph"/>
        <w:numPr>
          <w:ilvl w:val="0"/>
          <w:numId w:val="3"/>
        </w:numPr>
        <w:spacing w:line="240" w:lineRule="auto"/>
        <w:ind w:left="567" w:hanging="567"/>
        <w:rPr>
          <w:rFonts w:ascii="Arial" w:hAnsi="Arial" w:cs="Arial"/>
          <w:sz w:val="24"/>
          <w:szCs w:val="24"/>
        </w:rPr>
      </w:pPr>
      <w:r w:rsidRPr="00DD4BA3">
        <w:rPr>
          <w:rFonts w:ascii="Arial" w:hAnsi="Arial" w:cs="Arial"/>
          <w:sz w:val="24"/>
          <w:szCs w:val="24"/>
        </w:rPr>
        <w:t>Where a pupil moves between schools, funding will transfer with the pupil for the remaind</w:t>
      </w:r>
      <w:r>
        <w:rPr>
          <w:rFonts w:ascii="Arial" w:hAnsi="Arial" w:cs="Arial"/>
          <w:sz w:val="24"/>
          <w:szCs w:val="24"/>
        </w:rPr>
        <w:t>er of the financial year</w:t>
      </w:r>
    </w:p>
    <w:p w14:paraId="5E5EA796" w14:textId="77777777" w:rsidR="002D43CD" w:rsidRPr="002D43CD" w:rsidRDefault="002D43CD" w:rsidP="00D5523B">
      <w:pPr>
        <w:pStyle w:val="ListParagraph"/>
        <w:spacing w:line="240" w:lineRule="auto"/>
        <w:ind w:left="567"/>
        <w:rPr>
          <w:rFonts w:ascii="Arial" w:hAnsi="Arial" w:cs="Arial"/>
          <w:sz w:val="24"/>
          <w:szCs w:val="24"/>
        </w:rPr>
      </w:pPr>
    </w:p>
    <w:p w14:paraId="70501668" w14:textId="61ABE440" w:rsidR="00BA432F" w:rsidRDefault="00BA432F" w:rsidP="00D5523B">
      <w:pPr>
        <w:pStyle w:val="ListParagraph"/>
        <w:numPr>
          <w:ilvl w:val="0"/>
          <w:numId w:val="3"/>
        </w:numPr>
        <w:spacing w:line="240" w:lineRule="auto"/>
        <w:ind w:left="567" w:hanging="567"/>
        <w:rPr>
          <w:rFonts w:ascii="Arial" w:hAnsi="Arial" w:cs="Arial"/>
          <w:sz w:val="24"/>
          <w:szCs w:val="24"/>
        </w:rPr>
      </w:pPr>
      <w:r w:rsidRPr="002D43CD">
        <w:rPr>
          <w:rFonts w:ascii="Arial" w:hAnsi="Arial" w:cs="Arial"/>
          <w:sz w:val="24"/>
          <w:szCs w:val="24"/>
        </w:rPr>
        <w:t>Where</w:t>
      </w:r>
      <w:r w:rsidR="009E47DC" w:rsidRPr="002D43CD">
        <w:rPr>
          <w:rFonts w:ascii="Arial" w:hAnsi="Arial" w:cs="Arial"/>
          <w:sz w:val="24"/>
          <w:szCs w:val="24"/>
        </w:rPr>
        <w:t xml:space="preserve"> a pupils’ needs are </w:t>
      </w:r>
      <w:r w:rsidR="00272494" w:rsidRPr="002D43CD">
        <w:rPr>
          <w:rFonts w:ascii="Arial" w:hAnsi="Arial" w:cs="Arial"/>
          <w:sz w:val="24"/>
          <w:szCs w:val="24"/>
        </w:rPr>
        <w:t>reassessed,</w:t>
      </w:r>
      <w:r w:rsidR="009E47DC" w:rsidRPr="002D43CD">
        <w:rPr>
          <w:rFonts w:ascii="Arial" w:hAnsi="Arial" w:cs="Arial"/>
          <w:sz w:val="24"/>
          <w:szCs w:val="24"/>
        </w:rPr>
        <w:t xml:space="preserve"> and the funding has changed this </w:t>
      </w:r>
      <w:r w:rsidRPr="002D43CD">
        <w:rPr>
          <w:rFonts w:ascii="Arial" w:hAnsi="Arial" w:cs="Arial"/>
          <w:sz w:val="24"/>
          <w:szCs w:val="24"/>
        </w:rPr>
        <w:t>will be adjusted accordingly from the date of the change</w:t>
      </w:r>
    </w:p>
    <w:p w14:paraId="4B7889B8" w14:textId="77777777" w:rsidR="00CA6578" w:rsidRPr="00CA6578" w:rsidRDefault="00CA6578" w:rsidP="00D5523B">
      <w:pPr>
        <w:pStyle w:val="ListParagraph"/>
        <w:spacing w:line="240" w:lineRule="auto"/>
        <w:ind w:left="153"/>
        <w:rPr>
          <w:rFonts w:ascii="Arial" w:hAnsi="Arial" w:cs="Arial"/>
          <w:sz w:val="24"/>
          <w:szCs w:val="24"/>
        </w:rPr>
      </w:pPr>
    </w:p>
    <w:p w14:paraId="6A482E15" w14:textId="77777777" w:rsidR="002D43CD" w:rsidRDefault="00BA432F" w:rsidP="00D5523B">
      <w:pPr>
        <w:pStyle w:val="ListParagraph"/>
        <w:numPr>
          <w:ilvl w:val="0"/>
          <w:numId w:val="3"/>
        </w:numPr>
        <w:spacing w:line="240" w:lineRule="auto"/>
        <w:ind w:left="567" w:hanging="567"/>
        <w:rPr>
          <w:rFonts w:ascii="Arial" w:hAnsi="Arial" w:cs="Arial"/>
          <w:sz w:val="24"/>
          <w:szCs w:val="24"/>
        </w:rPr>
      </w:pPr>
      <w:r w:rsidRPr="00CA6578">
        <w:rPr>
          <w:rFonts w:ascii="Arial" w:hAnsi="Arial" w:cs="Arial"/>
          <w:sz w:val="24"/>
          <w:szCs w:val="24"/>
        </w:rPr>
        <w:lastRenderedPageBreak/>
        <w:t xml:space="preserve">Where a new qualifying EHCP is issued, the appropriate funding will be </w:t>
      </w:r>
      <w:r w:rsidR="009E47DC" w:rsidRPr="00CA6578">
        <w:rPr>
          <w:rFonts w:ascii="Arial" w:hAnsi="Arial" w:cs="Arial"/>
          <w:sz w:val="24"/>
          <w:szCs w:val="24"/>
        </w:rPr>
        <w:t xml:space="preserve">from </w:t>
      </w:r>
      <w:r w:rsidRPr="00CA6578">
        <w:rPr>
          <w:rFonts w:ascii="Arial" w:hAnsi="Arial" w:cs="Arial"/>
          <w:sz w:val="24"/>
          <w:szCs w:val="24"/>
        </w:rPr>
        <w:t xml:space="preserve">the date </w:t>
      </w:r>
      <w:r w:rsidR="009E47DC" w:rsidRPr="00CA6578">
        <w:rPr>
          <w:rFonts w:ascii="Arial" w:hAnsi="Arial" w:cs="Arial"/>
          <w:sz w:val="24"/>
          <w:szCs w:val="24"/>
        </w:rPr>
        <w:t>stated in the EHCP</w:t>
      </w:r>
    </w:p>
    <w:p w14:paraId="6E1CDE74" w14:textId="77777777" w:rsidR="00CA6578" w:rsidRPr="00CA6578" w:rsidRDefault="00CA6578" w:rsidP="00D5523B">
      <w:pPr>
        <w:pStyle w:val="ListParagraph"/>
        <w:spacing w:line="240" w:lineRule="auto"/>
        <w:ind w:left="567"/>
        <w:rPr>
          <w:rFonts w:ascii="Arial" w:hAnsi="Arial" w:cs="Arial"/>
          <w:sz w:val="24"/>
          <w:szCs w:val="24"/>
        </w:rPr>
      </w:pPr>
    </w:p>
    <w:p w14:paraId="1CD89BA8" w14:textId="30B73FB8" w:rsidR="00D16F40" w:rsidRDefault="00BA432F" w:rsidP="00D5523B">
      <w:pPr>
        <w:pStyle w:val="ListParagraph"/>
        <w:numPr>
          <w:ilvl w:val="0"/>
          <w:numId w:val="3"/>
        </w:numPr>
        <w:spacing w:line="240" w:lineRule="auto"/>
        <w:ind w:left="567" w:hanging="567"/>
        <w:rPr>
          <w:rFonts w:ascii="Arial" w:hAnsi="Arial" w:cs="Arial"/>
          <w:sz w:val="24"/>
          <w:szCs w:val="24"/>
        </w:rPr>
      </w:pPr>
      <w:r w:rsidRPr="002B0676">
        <w:rPr>
          <w:rFonts w:ascii="Arial" w:hAnsi="Arial" w:cs="Arial"/>
          <w:sz w:val="24"/>
          <w:szCs w:val="24"/>
        </w:rPr>
        <w:t>Where a pupil moves from a special school, top up funding will start from the date the pupil commences in mainstream</w:t>
      </w:r>
    </w:p>
    <w:p w14:paraId="62DEC9A3" w14:textId="7C571908" w:rsidR="00FA462D" w:rsidRDefault="00385314" w:rsidP="009422F3">
      <w:pPr>
        <w:spacing w:after="0" w:line="240" w:lineRule="auto"/>
        <w:rPr>
          <w:rFonts w:ascii="Arial" w:hAnsi="Arial" w:cs="Arial"/>
          <w:sz w:val="24"/>
          <w:szCs w:val="24"/>
        </w:rPr>
      </w:pPr>
      <w:r>
        <w:rPr>
          <w:rFonts w:ascii="Arial" w:hAnsi="Arial" w:cs="Arial"/>
          <w:sz w:val="24"/>
          <w:szCs w:val="24"/>
        </w:rPr>
        <w:t>Updated</w:t>
      </w:r>
      <w:r w:rsidR="00FA462D" w:rsidRPr="78065883">
        <w:rPr>
          <w:rFonts w:ascii="Arial" w:hAnsi="Arial" w:cs="Arial"/>
          <w:sz w:val="24"/>
          <w:szCs w:val="24"/>
        </w:rPr>
        <w:t xml:space="preserve"> </w:t>
      </w:r>
      <w:r>
        <w:rPr>
          <w:rFonts w:ascii="Arial" w:hAnsi="Arial" w:cs="Arial"/>
          <w:sz w:val="24"/>
          <w:szCs w:val="24"/>
        </w:rPr>
        <w:t xml:space="preserve">top up </w:t>
      </w:r>
      <w:r w:rsidR="00FA462D" w:rsidRPr="78065883">
        <w:rPr>
          <w:rFonts w:ascii="Arial" w:hAnsi="Arial" w:cs="Arial"/>
          <w:sz w:val="24"/>
          <w:szCs w:val="24"/>
        </w:rPr>
        <w:t>allocations</w:t>
      </w:r>
      <w:r>
        <w:rPr>
          <w:rFonts w:ascii="Arial" w:hAnsi="Arial" w:cs="Arial"/>
          <w:sz w:val="24"/>
          <w:szCs w:val="24"/>
        </w:rPr>
        <w:t xml:space="preserve"> will be uploaded</w:t>
      </w:r>
      <w:r w:rsidR="00FA462D" w:rsidRPr="78065883">
        <w:rPr>
          <w:rFonts w:ascii="Arial" w:hAnsi="Arial" w:cs="Arial"/>
          <w:sz w:val="24"/>
          <w:szCs w:val="24"/>
        </w:rPr>
        <w:t xml:space="preserve"> on perspective lite each month.</w:t>
      </w:r>
    </w:p>
    <w:p w14:paraId="060DF389" w14:textId="77777777" w:rsidR="005B6853" w:rsidRDefault="005B6853" w:rsidP="005B6853">
      <w:pPr>
        <w:spacing w:after="0" w:line="240" w:lineRule="auto"/>
        <w:rPr>
          <w:rFonts w:ascii="Arial" w:hAnsi="Arial" w:cs="Arial"/>
          <w:sz w:val="24"/>
          <w:szCs w:val="24"/>
        </w:rPr>
      </w:pPr>
    </w:p>
    <w:p w14:paraId="6132B3B4" w14:textId="77777777" w:rsidR="004D6B1A" w:rsidRDefault="004D6B1A" w:rsidP="005B6853">
      <w:pPr>
        <w:pStyle w:val="Heading1"/>
        <w:numPr>
          <w:ilvl w:val="0"/>
          <w:numId w:val="15"/>
        </w:numPr>
        <w:spacing w:before="120" w:line="240" w:lineRule="auto"/>
        <w:ind w:left="357" w:hanging="357"/>
        <w:contextualSpacing/>
        <w:rPr>
          <w:rFonts w:ascii="Arial" w:hAnsi="Arial" w:cs="Arial"/>
          <w:color w:val="1F497D" w:themeColor="text2"/>
        </w:rPr>
      </w:pPr>
      <w:bookmarkStart w:id="11" w:name="_Toc222471258"/>
      <w:r w:rsidRPr="3B954121">
        <w:rPr>
          <w:rFonts w:ascii="Arial" w:hAnsi="Arial" w:cs="Arial"/>
          <w:color w:val="1F497D" w:themeColor="text2"/>
        </w:rPr>
        <w:t>SEN High Needs Funding – Special Centres (SC)</w:t>
      </w:r>
      <w:bookmarkEnd w:id="11"/>
    </w:p>
    <w:p w14:paraId="0C018B75" w14:textId="77777777" w:rsidR="00DB3409" w:rsidRDefault="00DB3409" w:rsidP="00DB3409">
      <w:pPr>
        <w:spacing w:after="0"/>
        <w:rPr>
          <w:rFonts w:ascii="Arial" w:hAnsi="Arial" w:cs="Arial"/>
          <w:sz w:val="24"/>
          <w:szCs w:val="24"/>
        </w:rPr>
      </w:pPr>
    </w:p>
    <w:p w14:paraId="0CE63467" w14:textId="00D1CF12" w:rsidR="00DB3409" w:rsidRPr="00DB3409" w:rsidRDefault="00DB3409" w:rsidP="00DB3409">
      <w:r w:rsidRPr="00DB3409">
        <w:rPr>
          <w:rFonts w:ascii="Arial" w:hAnsi="Arial" w:cs="Arial"/>
          <w:sz w:val="24"/>
          <w:szCs w:val="24"/>
        </w:rPr>
        <w:t>High needs funding allocations</w:t>
      </w:r>
      <w:r>
        <w:rPr>
          <w:rFonts w:ascii="Arial" w:hAnsi="Arial" w:cs="Arial"/>
          <w:sz w:val="24"/>
          <w:szCs w:val="24"/>
        </w:rPr>
        <w:t xml:space="preserve"> for special centres</w:t>
      </w:r>
      <w:r w:rsidRPr="00DB3409">
        <w:rPr>
          <w:rFonts w:ascii="Arial" w:hAnsi="Arial" w:cs="Arial"/>
          <w:sz w:val="24"/>
          <w:szCs w:val="24"/>
        </w:rPr>
        <w:t xml:space="preserve"> will be published in April.</w:t>
      </w:r>
    </w:p>
    <w:p w14:paraId="2F4D6A2A" w14:textId="705085B3" w:rsidR="004D6B1A" w:rsidRDefault="004D6B1A" w:rsidP="00D5523B">
      <w:pPr>
        <w:pStyle w:val="Default"/>
        <w:rPr>
          <w:szCs w:val="23"/>
        </w:rPr>
      </w:pPr>
      <w:r w:rsidRPr="00AF4522">
        <w:rPr>
          <w:szCs w:val="23"/>
        </w:rPr>
        <w:t xml:space="preserve">Special </w:t>
      </w:r>
      <w:r>
        <w:rPr>
          <w:szCs w:val="23"/>
        </w:rPr>
        <w:t xml:space="preserve">centres (SC) </w:t>
      </w:r>
      <w:r w:rsidR="00F52CD4">
        <w:rPr>
          <w:szCs w:val="23"/>
        </w:rPr>
        <w:t xml:space="preserve">receive funding based </w:t>
      </w:r>
      <w:r w:rsidR="003052A8">
        <w:rPr>
          <w:szCs w:val="23"/>
        </w:rPr>
        <w:t xml:space="preserve">on </w:t>
      </w:r>
      <w:r w:rsidRPr="00AF4522">
        <w:rPr>
          <w:szCs w:val="23"/>
        </w:rPr>
        <w:t xml:space="preserve">an agreed number of planned places (base funding) </w:t>
      </w:r>
      <w:r w:rsidR="003052A8">
        <w:rPr>
          <w:szCs w:val="23"/>
        </w:rPr>
        <w:t>supplemented by</w:t>
      </w:r>
      <w:r w:rsidRPr="00AF4522">
        <w:rPr>
          <w:szCs w:val="23"/>
        </w:rPr>
        <w:t xml:space="preserve"> top up funding for each occupied place. S</w:t>
      </w:r>
      <w:r>
        <w:rPr>
          <w:szCs w:val="23"/>
        </w:rPr>
        <w:t>Cs</w:t>
      </w:r>
      <w:r w:rsidRPr="00AF4522">
        <w:rPr>
          <w:szCs w:val="23"/>
        </w:rPr>
        <w:t xml:space="preserve"> provide specialist support for a specific type of high need e.g. sensory, physical disability. EHCPs will name the S</w:t>
      </w:r>
      <w:r>
        <w:rPr>
          <w:szCs w:val="23"/>
        </w:rPr>
        <w:t>C</w:t>
      </w:r>
      <w:r w:rsidRPr="00AF4522">
        <w:rPr>
          <w:szCs w:val="23"/>
        </w:rPr>
        <w:t xml:space="preserve"> as appropriate provision to meet the pupil’s needs. The core curriculum is provided through the </w:t>
      </w:r>
      <w:r w:rsidR="00495E8B" w:rsidRPr="00AF4522">
        <w:rPr>
          <w:szCs w:val="23"/>
        </w:rPr>
        <w:t>school,</w:t>
      </w:r>
      <w:r w:rsidRPr="00AF4522">
        <w:rPr>
          <w:szCs w:val="23"/>
        </w:rPr>
        <w:t xml:space="preserve"> and pupils are fully integrated within normal classes in as far as their need allows. SCs are funded to provide the specific specialist support to individual pupils as identified in statements/EHCPs</w:t>
      </w:r>
      <w:r>
        <w:rPr>
          <w:szCs w:val="23"/>
        </w:rPr>
        <w:t>.</w:t>
      </w:r>
    </w:p>
    <w:p w14:paraId="47EEA3F3" w14:textId="77777777" w:rsidR="004D6B1A" w:rsidRDefault="004D6B1A" w:rsidP="00D5523B">
      <w:pPr>
        <w:pStyle w:val="Default"/>
        <w:rPr>
          <w:szCs w:val="23"/>
        </w:rPr>
      </w:pPr>
    </w:p>
    <w:p w14:paraId="29148130" w14:textId="77777777" w:rsidR="004D6B1A" w:rsidRPr="00AF4522" w:rsidRDefault="004D6B1A" w:rsidP="78065883">
      <w:pPr>
        <w:pStyle w:val="Default"/>
        <w:rPr>
          <w:b/>
          <w:bCs/>
        </w:rPr>
      </w:pPr>
      <w:r w:rsidRPr="78065883">
        <w:rPr>
          <w:b/>
          <w:bCs/>
        </w:rPr>
        <w:t>Elements 1 &amp; 2 - Base Funding:</w:t>
      </w:r>
    </w:p>
    <w:p w14:paraId="12ACD519" w14:textId="77777777" w:rsidR="004D6B1A" w:rsidRPr="00AF4522" w:rsidRDefault="004D6B1A" w:rsidP="00D5523B">
      <w:pPr>
        <w:pStyle w:val="Default"/>
        <w:rPr>
          <w:szCs w:val="23"/>
        </w:rPr>
      </w:pPr>
    </w:p>
    <w:p w14:paraId="0B77DE93" w14:textId="77777777" w:rsidR="004D6B1A" w:rsidRPr="00AF4522" w:rsidRDefault="004D6B1A" w:rsidP="00D5523B">
      <w:pPr>
        <w:pStyle w:val="Default"/>
      </w:pPr>
      <w:r>
        <w:t>Planned places are agreed each year between the establishment and the local authority taking into account the current places and estimated place numbers required in the following September.</w:t>
      </w:r>
    </w:p>
    <w:p w14:paraId="10A2739D" w14:textId="77777777" w:rsidR="004D6B1A" w:rsidRPr="00AF4522" w:rsidRDefault="004D6B1A" w:rsidP="00D5523B">
      <w:pPr>
        <w:pStyle w:val="Default"/>
        <w:rPr>
          <w:szCs w:val="23"/>
        </w:rPr>
      </w:pPr>
    </w:p>
    <w:p w14:paraId="69403FD2" w14:textId="6A1040A0" w:rsidR="004D6B1A" w:rsidRPr="00AF4522" w:rsidRDefault="004D6B1A" w:rsidP="00D5523B">
      <w:pPr>
        <w:pStyle w:val="Default"/>
        <w:rPr>
          <w:szCs w:val="23"/>
        </w:rPr>
      </w:pPr>
      <w:r w:rsidRPr="00AF4522">
        <w:rPr>
          <w:szCs w:val="23"/>
        </w:rPr>
        <w:t>SCs are provided with per pupil funding for occupied agreed planned places in the SC through their main school budget share. They are also provided with base funding of £6,000 for each of those occupied agreed planned places and base funding of £10,000 for each of the unoccupied agreed planned places.</w:t>
      </w:r>
    </w:p>
    <w:p w14:paraId="247B2334" w14:textId="77777777" w:rsidR="004D6B1A" w:rsidRPr="00AF4522" w:rsidRDefault="004D6B1A" w:rsidP="00D5523B">
      <w:pPr>
        <w:pStyle w:val="Default"/>
        <w:rPr>
          <w:szCs w:val="23"/>
        </w:rPr>
      </w:pPr>
    </w:p>
    <w:p w14:paraId="23023AB0" w14:textId="77777777" w:rsidR="004D6B1A" w:rsidRPr="00AF4522" w:rsidRDefault="004D6B1A" w:rsidP="00D5523B">
      <w:pPr>
        <w:pStyle w:val="Default"/>
        <w:rPr>
          <w:b/>
          <w:bCs/>
          <w:szCs w:val="23"/>
        </w:rPr>
      </w:pPr>
      <w:r>
        <w:rPr>
          <w:b/>
          <w:bCs/>
          <w:szCs w:val="23"/>
        </w:rPr>
        <w:t xml:space="preserve">Element 3 - </w:t>
      </w:r>
      <w:r w:rsidRPr="00AF4522">
        <w:rPr>
          <w:b/>
          <w:bCs/>
          <w:szCs w:val="23"/>
        </w:rPr>
        <w:t>Top Up Funding</w:t>
      </w:r>
      <w:r>
        <w:rPr>
          <w:b/>
          <w:bCs/>
          <w:szCs w:val="23"/>
        </w:rPr>
        <w:t>:</w:t>
      </w:r>
    </w:p>
    <w:p w14:paraId="27923FA4" w14:textId="77777777" w:rsidR="004D6B1A" w:rsidRPr="00AF4522" w:rsidRDefault="004D6B1A" w:rsidP="00D5523B">
      <w:pPr>
        <w:pStyle w:val="Default"/>
        <w:rPr>
          <w:szCs w:val="23"/>
        </w:rPr>
      </w:pPr>
    </w:p>
    <w:p w14:paraId="30A037EB" w14:textId="0CA02119" w:rsidR="004D6B1A" w:rsidRPr="00AF4522" w:rsidRDefault="004D6B1A" w:rsidP="00D5523B">
      <w:pPr>
        <w:pStyle w:val="Default"/>
        <w:rPr>
          <w:szCs w:val="23"/>
        </w:rPr>
      </w:pPr>
      <w:r w:rsidRPr="00AF4522">
        <w:rPr>
          <w:szCs w:val="23"/>
        </w:rPr>
        <w:t xml:space="preserve">SCs are allocated top-up funding for every occupied place. The top-up is funded by the </w:t>
      </w:r>
      <w:r w:rsidR="00C777C4">
        <w:rPr>
          <w:szCs w:val="23"/>
        </w:rPr>
        <w:t>local authority</w:t>
      </w:r>
      <w:r w:rsidRPr="00AF4522">
        <w:rPr>
          <w:szCs w:val="23"/>
        </w:rPr>
        <w:t xml:space="preserve"> in which the pupil lives.</w:t>
      </w:r>
    </w:p>
    <w:p w14:paraId="0D8DF4D6" w14:textId="77777777" w:rsidR="004D6B1A" w:rsidRPr="00AF4522" w:rsidRDefault="004D6B1A" w:rsidP="00D5523B">
      <w:pPr>
        <w:pStyle w:val="Default"/>
        <w:rPr>
          <w:szCs w:val="23"/>
        </w:rPr>
      </w:pPr>
    </w:p>
    <w:p w14:paraId="19F66DA4" w14:textId="77777777" w:rsidR="004D6B1A" w:rsidRDefault="004D6B1A" w:rsidP="00D5523B">
      <w:pPr>
        <w:pStyle w:val="Default"/>
        <w:rPr>
          <w:szCs w:val="23"/>
        </w:rPr>
      </w:pPr>
      <w:r w:rsidRPr="00AF4522">
        <w:rPr>
          <w:szCs w:val="23"/>
        </w:rPr>
        <w:t>The funding a SC receives as top-up will vary through the year as this money “follows” the child. If a child joins the SC part-way through a year, a top-up will be allocated to the school on a pro-rata basis, calculated according to the number of school days left in the financial year. Equally, if a child leaves, a proportion of the top-up originally allocated will be removed from the budget, again on a pro-rata basis.</w:t>
      </w:r>
    </w:p>
    <w:p w14:paraId="76255241" w14:textId="77777777" w:rsidR="00012395" w:rsidRPr="00AF4522" w:rsidRDefault="00012395" w:rsidP="00D5523B">
      <w:pPr>
        <w:pStyle w:val="Default"/>
        <w:rPr>
          <w:szCs w:val="23"/>
        </w:rPr>
      </w:pPr>
    </w:p>
    <w:p w14:paraId="0D530148" w14:textId="77777777" w:rsidR="00D52A06" w:rsidRDefault="00D52A06" w:rsidP="00D5523B">
      <w:pPr>
        <w:pStyle w:val="NoSpacing"/>
        <w:rPr>
          <w:rFonts w:ascii="Arial" w:hAnsi="Arial" w:cs="Arial"/>
          <w:sz w:val="24"/>
        </w:rPr>
      </w:pPr>
      <w:r>
        <w:rPr>
          <w:rFonts w:ascii="Arial" w:hAnsi="Arial" w:cs="Arial"/>
          <w:sz w:val="24"/>
        </w:rPr>
        <w:t>The top up rates have been uplifted by 3% and are as follows:</w:t>
      </w:r>
    </w:p>
    <w:p w14:paraId="2D91958A" w14:textId="137BBE84" w:rsidR="00293B72" w:rsidRDefault="00293B72" w:rsidP="00D5523B">
      <w:pPr>
        <w:pStyle w:val="NoSpacing"/>
        <w:rPr>
          <w:rFonts w:ascii="Arial" w:hAnsi="Arial" w:cs="Arial"/>
          <w:sz w:val="24"/>
          <w:szCs w:val="24"/>
          <w:highlight w:val="yellow"/>
        </w:rPr>
      </w:pPr>
    </w:p>
    <w:tbl>
      <w:tblPr>
        <w:tblStyle w:val="TableGrid"/>
        <w:tblW w:w="3962" w:type="dxa"/>
        <w:tblLook w:val="04A0" w:firstRow="1" w:lastRow="0" w:firstColumn="1" w:lastColumn="0" w:noHBand="0" w:noVBand="1"/>
      </w:tblPr>
      <w:tblGrid>
        <w:gridCol w:w="1530"/>
        <w:gridCol w:w="2432"/>
      </w:tblGrid>
      <w:tr w:rsidR="00293B72" w:rsidRPr="001778EA" w14:paraId="366487D3" w14:textId="77777777" w:rsidTr="00293B72">
        <w:tc>
          <w:tcPr>
            <w:tcW w:w="1530" w:type="dxa"/>
          </w:tcPr>
          <w:p w14:paraId="391CADA5" w14:textId="3F17C6FA" w:rsidR="00293B72" w:rsidRPr="001778EA" w:rsidRDefault="00293B72" w:rsidP="00D5523B">
            <w:pPr>
              <w:pStyle w:val="NoSpacing"/>
              <w:rPr>
                <w:rFonts w:ascii="Arial" w:hAnsi="Arial" w:cs="Arial"/>
                <w:b/>
                <w:bCs/>
                <w:sz w:val="24"/>
              </w:rPr>
            </w:pPr>
            <w:r w:rsidRPr="001778EA">
              <w:rPr>
                <w:rFonts w:ascii="Arial" w:hAnsi="Arial" w:cs="Arial"/>
                <w:b/>
                <w:bCs/>
                <w:sz w:val="24"/>
              </w:rPr>
              <w:t>Band</w:t>
            </w:r>
            <w:r>
              <w:rPr>
                <w:rFonts w:ascii="Arial" w:hAnsi="Arial" w:cs="Arial"/>
                <w:b/>
                <w:bCs/>
                <w:sz w:val="24"/>
              </w:rPr>
              <w:t xml:space="preserve"> </w:t>
            </w:r>
          </w:p>
        </w:tc>
        <w:tc>
          <w:tcPr>
            <w:tcW w:w="2432" w:type="dxa"/>
          </w:tcPr>
          <w:p w14:paraId="20A6B46D" w14:textId="6A28ECF8" w:rsidR="00293B72" w:rsidRDefault="00293B72" w:rsidP="00D5523B">
            <w:pPr>
              <w:pStyle w:val="NoSpacing"/>
              <w:jc w:val="right"/>
              <w:rPr>
                <w:rFonts w:ascii="Arial" w:hAnsi="Arial" w:cs="Arial"/>
                <w:b/>
                <w:bCs/>
                <w:sz w:val="24"/>
              </w:rPr>
            </w:pPr>
            <w:r>
              <w:rPr>
                <w:rFonts w:ascii="Arial" w:hAnsi="Arial" w:cs="Arial"/>
                <w:b/>
                <w:bCs/>
                <w:sz w:val="24"/>
              </w:rPr>
              <w:t>Special Centres Annual Rate</w:t>
            </w:r>
          </w:p>
        </w:tc>
      </w:tr>
      <w:tr w:rsidR="00293B72" w14:paraId="226056F1" w14:textId="77777777" w:rsidTr="00293B72">
        <w:tc>
          <w:tcPr>
            <w:tcW w:w="1530" w:type="dxa"/>
          </w:tcPr>
          <w:p w14:paraId="49BB7568" w14:textId="77777777" w:rsidR="00293B72" w:rsidRDefault="00293B72" w:rsidP="00D5523B">
            <w:pPr>
              <w:pStyle w:val="NoSpacing"/>
              <w:rPr>
                <w:rFonts w:ascii="Arial" w:hAnsi="Arial" w:cs="Arial"/>
                <w:sz w:val="24"/>
              </w:rPr>
            </w:pPr>
            <w:r>
              <w:rPr>
                <w:rFonts w:ascii="Arial" w:hAnsi="Arial" w:cs="Arial"/>
                <w:sz w:val="24"/>
              </w:rPr>
              <w:t>1</w:t>
            </w:r>
          </w:p>
        </w:tc>
        <w:tc>
          <w:tcPr>
            <w:tcW w:w="2432" w:type="dxa"/>
            <w:vMerge w:val="restart"/>
            <w:shd w:val="clear" w:color="auto" w:fill="F2F2F2" w:themeFill="background1" w:themeFillShade="F2"/>
          </w:tcPr>
          <w:p w14:paraId="3F6F0D5C" w14:textId="77777777" w:rsidR="00293B72" w:rsidRDefault="00293B72" w:rsidP="00D5523B">
            <w:pPr>
              <w:pStyle w:val="NoSpacing"/>
              <w:jc w:val="right"/>
              <w:rPr>
                <w:rFonts w:ascii="Arial" w:hAnsi="Arial" w:cs="Arial"/>
                <w:sz w:val="24"/>
              </w:rPr>
            </w:pPr>
            <w:r>
              <w:rPr>
                <w:rFonts w:ascii="Arial" w:hAnsi="Arial" w:cs="Arial"/>
                <w:sz w:val="24"/>
              </w:rPr>
              <w:t>Not Used</w:t>
            </w:r>
          </w:p>
        </w:tc>
      </w:tr>
      <w:tr w:rsidR="00293B72" w14:paraId="1162DB34" w14:textId="77777777" w:rsidTr="00293B72">
        <w:tc>
          <w:tcPr>
            <w:tcW w:w="1530" w:type="dxa"/>
          </w:tcPr>
          <w:p w14:paraId="64F43131" w14:textId="77777777" w:rsidR="00293B72" w:rsidRDefault="00293B72" w:rsidP="00D5523B">
            <w:pPr>
              <w:pStyle w:val="NoSpacing"/>
              <w:rPr>
                <w:rFonts w:ascii="Arial" w:hAnsi="Arial" w:cs="Arial"/>
                <w:sz w:val="24"/>
              </w:rPr>
            </w:pPr>
            <w:r>
              <w:rPr>
                <w:rFonts w:ascii="Arial" w:hAnsi="Arial" w:cs="Arial"/>
                <w:sz w:val="24"/>
              </w:rPr>
              <w:t>2</w:t>
            </w:r>
          </w:p>
        </w:tc>
        <w:tc>
          <w:tcPr>
            <w:tcW w:w="2432" w:type="dxa"/>
            <w:vMerge/>
          </w:tcPr>
          <w:p w14:paraId="0F322284" w14:textId="77777777" w:rsidR="00293B72" w:rsidRDefault="00293B72" w:rsidP="00D5523B">
            <w:pPr>
              <w:pStyle w:val="NoSpacing"/>
              <w:jc w:val="right"/>
              <w:rPr>
                <w:rFonts w:ascii="Arial" w:hAnsi="Arial" w:cs="Arial"/>
                <w:sz w:val="24"/>
              </w:rPr>
            </w:pPr>
          </w:p>
        </w:tc>
      </w:tr>
      <w:tr w:rsidR="00293B72" w14:paraId="490496EB" w14:textId="77777777" w:rsidTr="00293B72">
        <w:tc>
          <w:tcPr>
            <w:tcW w:w="1530" w:type="dxa"/>
          </w:tcPr>
          <w:p w14:paraId="188004AD" w14:textId="77777777" w:rsidR="00293B72" w:rsidRDefault="00293B72" w:rsidP="00D5523B">
            <w:pPr>
              <w:pStyle w:val="NoSpacing"/>
              <w:rPr>
                <w:rFonts w:ascii="Arial" w:hAnsi="Arial" w:cs="Arial"/>
                <w:sz w:val="24"/>
              </w:rPr>
            </w:pPr>
            <w:r>
              <w:rPr>
                <w:rFonts w:ascii="Arial" w:hAnsi="Arial" w:cs="Arial"/>
                <w:sz w:val="24"/>
              </w:rPr>
              <w:t>3</w:t>
            </w:r>
          </w:p>
        </w:tc>
        <w:tc>
          <w:tcPr>
            <w:tcW w:w="2432" w:type="dxa"/>
          </w:tcPr>
          <w:p w14:paraId="7377765C" w14:textId="64D937AF" w:rsidR="00293B72" w:rsidRPr="00293B72" w:rsidRDefault="0097665A" w:rsidP="00D5523B">
            <w:pPr>
              <w:pStyle w:val="NoSpacing"/>
              <w:jc w:val="right"/>
              <w:rPr>
                <w:rFonts w:ascii="Arial" w:hAnsi="Arial" w:cs="Arial"/>
                <w:sz w:val="24"/>
                <w:szCs w:val="24"/>
              </w:rPr>
            </w:pPr>
            <w:r>
              <w:rPr>
                <w:rFonts w:ascii="Arial" w:hAnsi="Arial" w:cs="Arial"/>
                <w:sz w:val="24"/>
                <w:szCs w:val="24"/>
              </w:rPr>
              <w:t>£</w:t>
            </w:r>
            <w:r w:rsidR="005946AA">
              <w:rPr>
                <w:rFonts w:ascii="Arial" w:hAnsi="Arial" w:cs="Arial"/>
                <w:sz w:val="24"/>
                <w:szCs w:val="24"/>
              </w:rPr>
              <w:t>2,31</w:t>
            </w:r>
            <w:r w:rsidR="008A2547">
              <w:rPr>
                <w:rFonts w:ascii="Arial" w:hAnsi="Arial" w:cs="Arial"/>
                <w:sz w:val="24"/>
                <w:szCs w:val="24"/>
              </w:rPr>
              <w:t>3</w:t>
            </w:r>
          </w:p>
        </w:tc>
      </w:tr>
      <w:tr w:rsidR="00293B72" w14:paraId="12476B7E" w14:textId="77777777" w:rsidTr="00293B72">
        <w:tc>
          <w:tcPr>
            <w:tcW w:w="1530" w:type="dxa"/>
          </w:tcPr>
          <w:p w14:paraId="501E8AB7" w14:textId="77777777" w:rsidR="00293B72" w:rsidRDefault="00293B72" w:rsidP="00D5523B">
            <w:pPr>
              <w:pStyle w:val="NoSpacing"/>
              <w:rPr>
                <w:rFonts w:ascii="Arial" w:hAnsi="Arial" w:cs="Arial"/>
                <w:sz w:val="24"/>
              </w:rPr>
            </w:pPr>
            <w:r>
              <w:rPr>
                <w:rFonts w:ascii="Arial" w:hAnsi="Arial" w:cs="Arial"/>
                <w:sz w:val="24"/>
              </w:rPr>
              <w:t>4</w:t>
            </w:r>
          </w:p>
        </w:tc>
        <w:tc>
          <w:tcPr>
            <w:tcW w:w="2432" w:type="dxa"/>
          </w:tcPr>
          <w:p w14:paraId="5C570AD5" w14:textId="045FE61A" w:rsidR="00293B72" w:rsidRPr="00293B72" w:rsidRDefault="0097665A" w:rsidP="00D5523B">
            <w:pPr>
              <w:pStyle w:val="NoSpacing"/>
              <w:jc w:val="right"/>
              <w:rPr>
                <w:rFonts w:ascii="Arial" w:hAnsi="Arial" w:cs="Arial"/>
                <w:sz w:val="24"/>
                <w:szCs w:val="24"/>
              </w:rPr>
            </w:pPr>
            <w:r>
              <w:rPr>
                <w:rFonts w:ascii="Arial" w:hAnsi="Arial" w:cs="Arial"/>
                <w:sz w:val="24"/>
                <w:szCs w:val="24"/>
              </w:rPr>
              <w:t>£8</w:t>
            </w:r>
            <w:r w:rsidR="00012395">
              <w:rPr>
                <w:rFonts w:ascii="Arial" w:hAnsi="Arial" w:cs="Arial"/>
                <w:sz w:val="24"/>
                <w:szCs w:val="24"/>
              </w:rPr>
              <w:t>,</w:t>
            </w:r>
            <w:r w:rsidR="005946AA">
              <w:rPr>
                <w:rFonts w:ascii="Arial" w:hAnsi="Arial" w:cs="Arial"/>
                <w:sz w:val="24"/>
                <w:szCs w:val="24"/>
              </w:rPr>
              <w:t>674</w:t>
            </w:r>
          </w:p>
        </w:tc>
      </w:tr>
      <w:tr w:rsidR="00293B72" w14:paraId="03F70F74" w14:textId="77777777" w:rsidTr="00293B72">
        <w:tc>
          <w:tcPr>
            <w:tcW w:w="1530" w:type="dxa"/>
          </w:tcPr>
          <w:p w14:paraId="58F379A5" w14:textId="77777777" w:rsidR="00293B72" w:rsidRDefault="00293B72" w:rsidP="00D5523B">
            <w:pPr>
              <w:pStyle w:val="NoSpacing"/>
              <w:rPr>
                <w:rFonts w:ascii="Arial" w:hAnsi="Arial" w:cs="Arial"/>
                <w:sz w:val="24"/>
              </w:rPr>
            </w:pPr>
            <w:r>
              <w:rPr>
                <w:rFonts w:ascii="Arial" w:hAnsi="Arial" w:cs="Arial"/>
                <w:sz w:val="24"/>
              </w:rPr>
              <w:t>5</w:t>
            </w:r>
          </w:p>
        </w:tc>
        <w:tc>
          <w:tcPr>
            <w:tcW w:w="2432" w:type="dxa"/>
          </w:tcPr>
          <w:p w14:paraId="695BDB40" w14:textId="37AD6585" w:rsidR="00293B72" w:rsidRPr="00293B72" w:rsidRDefault="0097665A" w:rsidP="00D5523B">
            <w:pPr>
              <w:pStyle w:val="NoSpacing"/>
              <w:jc w:val="right"/>
              <w:rPr>
                <w:rFonts w:ascii="Arial" w:hAnsi="Arial" w:cs="Arial"/>
                <w:sz w:val="24"/>
                <w:szCs w:val="24"/>
              </w:rPr>
            </w:pPr>
            <w:r>
              <w:rPr>
                <w:rFonts w:ascii="Arial" w:hAnsi="Arial" w:cs="Arial"/>
                <w:sz w:val="24"/>
                <w:szCs w:val="24"/>
              </w:rPr>
              <w:t>£1</w:t>
            </w:r>
            <w:r w:rsidR="005946AA">
              <w:rPr>
                <w:rFonts w:ascii="Arial" w:hAnsi="Arial" w:cs="Arial"/>
                <w:sz w:val="24"/>
                <w:szCs w:val="24"/>
              </w:rPr>
              <w:t>5,418</w:t>
            </w:r>
          </w:p>
        </w:tc>
      </w:tr>
      <w:tr w:rsidR="00293B72" w14:paraId="4331191F" w14:textId="77777777" w:rsidTr="00293B72">
        <w:tc>
          <w:tcPr>
            <w:tcW w:w="1530" w:type="dxa"/>
          </w:tcPr>
          <w:p w14:paraId="38188984" w14:textId="77777777" w:rsidR="00293B72" w:rsidRDefault="00293B72" w:rsidP="00D5523B">
            <w:pPr>
              <w:pStyle w:val="NoSpacing"/>
              <w:rPr>
                <w:rFonts w:ascii="Arial" w:hAnsi="Arial" w:cs="Arial"/>
                <w:sz w:val="24"/>
              </w:rPr>
            </w:pPr>
            <w:r>
              <w:rPr>
                <w:rFonts w:ascii="Arial" w:hAnsi="Arial" w:cs="Arial"/>
                <w:sz w:val="24"/>
              </w:rPr>
              <w:t>6</w:t>
            </w:r>
          </w:p>
        </w:tc>
        <w:tc>
          <w:tcPr>
            <w:tcW w:w="2432" w:type="dxa"/>
          </w:tcPr>
          <w:p w14:paraId="2D236D9E" w14:textId="3633D068" w:rsidR="00293B72" w:rsidRPr="00293B72" w:rsidRDefault="0097665A" w:rsidP="00D5523B">
            <w:pPr>
              <w:pStyle w:val="NoSpacing"/>
              <w:jc w:val="right"/>
              <w:rPr>
                <w:rFonts w:ascii="Arial" w:hAnsi="Arial" w:cs="Arial"/>
                <w:sz w:val="24"/>
                <w:szCs w:val="24"/>
              </w:rPr>
            </w:pPr>
            <w:r>
              <w:rPr>
                <w:rFonts w:ascii="Arial" w:hAnsi="Arial" w:cs="Arial"/>
                <w:sz w:val="24"/>
                <w:szCs w:val="24"/>
              </w:rPr>
              <w:t>£2</w:t>
            </w:r>
            <w:r w:rsidR="005946AA">
              <w:rPr>
                <w:rFonts w:ascii="Arial" w:hAnsi="Arial" w:cs="Arial"/>
                <w:sz w:val="24"/>
                <w:szCs w:val="24"/>
              </w:rPr>
              <w:t>6,983</w:t>
            </w:r>
          </w:p>
        </w:tc>
      </w:tr>
      <w:tr w:rsidR="00293B72" w14:paraId="27D83F72" w14:textId="77777777" w:rsidTr="00293B72">
        <w:tc>
          <w:tcPr>
            <w:tcW w:w="1530" w:type="dxa"/>
          </w:tcPr>
          <w:p w14:paraId="4D9D821E" w14:textId="77777777" w:rsidR="00293B72" w:rsidRDefault="00293B72" w:rsidP="00D5523B">
            <w:pPr>
              <w:pStyle w:val="NoSpacing"/>
              <w:rPr>
                <w:rFonts w:ascii="Arial" w:hAnsi="Arial" w:cs="Arial"/>
                <w:sz w:val="24"/>
              </w:rPr>
            </w:pPr>
            <w:r>
              <w:rPr>
                <w:rFonts w:ascii="Arial" w:hAnsi="Arial" w:cs="Arial"/>
                <w:sz w:val="24"/>
              </w:rPr>
              <w:t>7</w:t>
            </w:r>
          </w:p>
        </w:tc>
        <w:tc>
          <w:tcPr>
            <w:tcW w:w="2432" w:type="dxa"/>
            <w:shd w:val="clear" w:color="auto" w:fill="F2F2F2" w:themeFill="background1" w:themeFillShade="F2"/>
          </w:tcPr>
          <w:p w14:paraId="3C47C187" w14:textId="77777777" w:rsidR="00293B72" w:rsidRDefault="00293B72" w:rsidP="00D5523B">
            <w:pPr>
              <w:pStyle w:val="NoSpacing"/>
              <w:jc w:val="right"/>
              <w:rPr>
                <w:rFonts w:ascii="Arial" w:hAnsi="Arial" w:cs="Arial"/>
                <w:sz w:val="24"/>
              </w:rPr>
            </w:pPr>
            <w:r>
              <w:rPr>
                <w:rFonts w:ascii="Arial" w:hAnsi="Arial" w:cs="Arial"/>
                <w:sz w:val="24"/>
              </w:rPr>
              <w:t>Exceptional Funding</w:t>
            </w:r>
          </w:p>
        </w:tc>
      </w:tr>
    </w:tbl>
    <w:p w14:paraId="32DF2873" w14:textId="219F0CD5" w:rsidR="00571B99" w:rsidRPr="00BA432F" w:rsidRDefault="00571B99" w:rsidP="00571B99">
      <w:pPr>
        <w:pStyle w:val="Heading1"/>
        <w:numPr>
          <w:ilvl w:val="0"/>
          <w:numId w:val="15"/>
        </w:numPr>
        <w:spacing w:before="120" w:line="240" w:lineRule="auto"/>
        <w:ind w:left="357" w:hanging="357"/>
        <w:contextualSpacing/>
        <w:rPr>
          <w:rFonts w:ascii="Arial" w:hAnsi="Arial" w:cs="Arial"/>
          <w:color w:val="1F497D" w:themeColor="text2"/>
        </w:rPr>
      </w:pPr>
      <w:bookmarkStart w:id="12" w:name="_Toc222471259"/>
      <w:r>
        <w:rPr>
          <w:rFonts w:ascii="Arial" w:hAnsi="Arial" w:cs="Arial"/>
          <w:color w:val="1F497D" w:themeColor="text2"/>
        </w:rPr>
        <w:lastRenderedPageBreak/>
        <w:t>Revenue/Capital Grants</w:t>
      </w:r>
      <w:bookmarkEnd w:id="12"/>
    </w:p>
    <w:p w14:paraId="5B4654E5" w14:textId="77777777" w:rsidR="0031072C" w:rsidRDefault="0031072C" w:rsidP="0031072C">
      <w:pPr>
        <w:spacing w:after="0" w:line="240" w:lineRule="auto"/>
        <w:rPr>
          <w:rFonts w:ascii="Arial" w:hAnsi="Arial" w:cs="Arial"/>
          <w:b/>
          <w:bCs/>
          <w:sz w:val="24"/>
        </w:rPr>
      </w:pPr>
    </w:p>
    <w:p w14:paraId="6259DB38" w14:textId="58449CF5" w:rsidR="00EF77D1" w:rsidRDefault="00B60755" w:rsidP="0031072C">
      <w:pPr>
        <w:spacing w:after="0" w:line="240" w:lineRule="auto"/>
        <w:rPr>
          <w:rFonts w:ascii="Arial" w:hAnsi="Arial" w:cs="Arial"/>
          <w:b/>
          <w:bCs/>
          <w:sz w:val="24"/>
        </w:rPr>
      </w:pPr>
      <w:r w:rsidRPr="00B60755">
        <w:rPr>
          <w:rFonts w:ascii="Arial" w:hAnsi="Arial" w:cs="Arial"/>
          <w:b/>
          <w:bCs/>
          <w:sz w:val="24"/>
        </w:rPr>
        <w:t>Post 16 Allocations</w:t>
      </w:r>
    </w:p>
    <w:p w14:paraId="00B5D2C9" w14:textId="77777777" w:rsidR="0031072C" w:rsidRPr="00B60755" w:rsidRDefault="0031072C" w:rsidP="0031072C">
      <w:pPr>
        <w:spacing w:after="0" w:line="240" w:lineRule="auto"/>
        <w:rPr>
          <w:rFonts w:ascii="Arial" w:hAnsi="Arial" w:cs="Arial"/>
          <w:b/>
          <w:bCs/>
          <w:sz w:val="24"/>
        </w:rPr>
      </w:pPr>
    </w:p>
    <w:p w14:paraId="4228D098" w14:textId="5D430F04" w:rsidR="00093E41" w:rsidRPr="00093E41" w:rsidRDefault="00907D62" w:rsidP="00D5523B">
      <w:pPr>
        <w:spacing w:line="240" w:lineRule="auto"/>
        <w:rPr>
          <w:rFonts w:ascii="Arial" w:hAnsi="Arial" w:cs="Arial"/>
          <w:sz w:val="24"/>
        </w:rPr>
      </w:pPr>
      <w:r>
        <w:rPr>
          <w:rFonts w:ascii="Arial" w:hAnsi="Arial" w:cs="Arial"/>
          <w:sz w:val="24"/>
        </w:rPr>
        <w:t xml:space="preserve">The </w:t>
      </w:r>
      <w:r w:rsidR="00B60755">
        <w:rPr>
          <w:rFonts w:ascii="Arial" w:hAnsi="Arial" w:cs="Arial"/>
          <w:sz w:val="24"/>
        </w:rPr>
        <w:t>post 16</w:t>
      </w:r>
      <w:r>
        <w:rPr>
          <w:rFonts w:ascii="Arial" w:hAnsi="Arial" w:cs="Arial"/>
          <w:sz w:val="24"/>
        </w:rPr>
        <w:t xml:space="preserve"> f</w:t>
      </w:r>
      <w:r w:rsidR="00093E41" w:rsidRPr="00093E41">
        <w:rPr>
          <w:rFonts w:ascii="Arial" w:hAnsi="Arial" w:cs="Arial"/>
          <w:sz w:val="24"/>
        </w:rPr>
        <w:t xml:space="preserve">unding </w:t>
      </w:r>
      <w:r>
        <w:rPr>
          <w:rFonts w:ascii="Arial" w:hAnsi="Arial" w:cs="Arial"/>
          <w:sz w:val="24"/>
        </w:rPr>
        <w:t>allocations are</w:t>
      </w:r>
      <w:r w:rsidR="00093E41" w:rsidRPr="00093E41">
        <w:rPr>
          <w:rFonts w:ascii="Arial" w:hAnsi="Arial" w:cs="Arial"/>
          <w:sz w:val="24"/>
        </w:rPr>
        <w:t xml:space="preserve"> calculated using the </w:t>
      </w:r>
      <w:r w:rsidR="0078210D">
        <w:rPr>
          <w:rFonts w:ascii="Arial" w:hAnsi="Arial" w:cs="Arial"/>
          <w:sz w:val="24"/>
        </w:rPr>
        <w:t>DfE</w:t>
      </w:r>
      <w:r w:rsidR="00093E41" w:rsidRPr="00093E41">
        <w:rPr>
          <w:rFonts w:ascii="Arial" w:hAnsi="Arial" w:cs="Arial"/>
          <w:sz w:val="24"/>
        </w:rPr>
        <w:t xml:space="preserve"> funding formula that incorporates factors including student numbers, student retention, higher cost subjects, disadvantaged </w:t>
      </w:r>
      <w:r w:rsidR="00C777C4" w:rsidRPr="00093E41">
        <w:rPr>
          <w:rFonts w:ascii="Arial" w:hAnsi="Arial" w:cs="Arial"/>
          <w:sz w:val="24"/>
        </w:rPr>
        <w:t>students,</w:t>
      </w:r>
      <w:r w:rsidR="00093E41" w:rsidRPr="00093E41">
        <w:rPr>
          <w:rFonts w:ascii="Arial" w:hAnsi="Arial" w:cs="Arial"/>
          <w:sz w:val="24"/>
        </w:rPr>
        <w:t xml:space="preserve"> and area costs.</w:t>
      </w:r>
    </w:p>
    <w:p w14:paraId="32D73960" w14:textId="77777777" w:rsidR="00093E41" w:rsidRDefault="00093E41" w:rsidP="00D5523B">
      <w:pPr>
        <w:spacing w:line="240" w:lineRule="auto"/>
        <w:rPr>
          <w:rFonts w:ascii="Arial" w:hAnsi="Arial" w:cs="Arial"/>
          <w:sz w:val="24"/>
        </w:rPr>
      </w:pPr>
      <w:r w:rsidRPr="00093E41">
        <w:rPr>
          <w:rFonts w:ascii="Arial" w:hAnsi="Arial" w:cs="Arial"/>
          <w:sz w:val="24"/>
        </w:rPr>
        <w:t xml:space="preserve">This is supplemented by additional funding for high needs students, bursaries and other financial support </w:t>
      </w:r>
      <w:r w:rsidR="001E5C35">
        <w:rPr>
          <w:rFonts w:ascii="Arial" w:hAnsi="Arial" w:cs="Arial"/>
          <w:sz w:val="24"/>
        </w:rPr>
        <w:t>awarded to individual students.</w:t>
      </w:r>
    </w:p>
    <w:p w14:paraId="05C0EFC5" w14:textId="4576860C" w:rsidR="00E17F11" w:rsidRDefault="00E17F11" w:rsidP="00D5523B">
      <w:pPr>
        <w:spacing w:after="0" w:line="240" w:lineRule="auto"/>
      </w:pPr>
      <w:r w:rsidRPr="21DFFC41">
        <w:rPr>
          <w:rFonts w:ascii="Arial" w:hAnsi="Arial" w:cs="Arial"/>
          <w:sz w:val="24"/>
          <w:szCs w:val="24"/>
        </w:rPr>
        <w:t>The figures shown in the budget represent 4/12ths of the 20</w:t>
      </w:r>
      <w:r w:rsidR="00944E49" w:rsidRPr="21DFFC41">
        <w:rPr>
          <w:rFonts w:ascii="Arial" w:hAnsi="Arial" w:cs="Arial"/>
          <w:sz w:val="24"/>
          <w:szCs w:val="24"/>
        </w:rPr>
        <w:t>2</w:t>
      </w:r>
      <w:r w:rsidR="0078210D">
        <w:rPr>
          <w:rFonts w:ascii="Arial" w:hAnsi="Arial" w:cs="Arial"/>
          <w:sz w:val="24"/>
          <w:szCs w:val="24"/>
        </w:rPr>
        <w:t>5-</w:t>
      </w:r>
      <w:r w:rsidR="009E47DC" w:rsidRPr="21DFFC41">
        <w:rPr>
          <w:rFonts w:ascii="Arial" w:hAnsi="Arial" w:cs="Arial"/>
          <w:sz w:val="24"/>
          <w:szCs w:val="24"/>
        </w:rPr>
        <w:t>2</w:t>
      </w:r>
      <w:r w:rsidR="0078210D">
        <w:rPr>
          <w:rFonts w:ascii="Arial" w:hAnsi="Arial" w:cs="Arial"/>
          <w:sz w:val="24"/>
          <w:szCs w:val="24"/>
        </w:rPr>
        <w:t>6</w:t>
      </w:r>
      <w:r w:rsidRPr="21DFFC41">
        <w:rPr>
          <w:rFonts w:ascii="Arial" w:hAnsi="Arial" w:cs="Arial"/>
          <w:sz w:val="24"/>
          <w:szCs w:val="24"/>
        </w:rPr>
        <w:t xml:space="preserve"> academic year</w:t>
      </w:r>
      <w:r w:rsidR="00907D62" w:rsidRPr="21DFFC41">
        <w:rPr>
          <w:rFonts w:ascii="Arial" w:hAnsi="Arial" w:cs="Arial"/>
          <w:sz w:val="24"/>
          <w:szCs w:val="24"/>
        </w:rPr>
        <w:t>. Please note that the 20</w:t>
      </w:r>
      <w:r w:rsidR="009E47DC" w:rsidRPr="21DFFC41">
        <w:rPr>
          <w:rFonts w:ascii="Arial" w:hAnsi="Arial" w:cs="Arial"/>
          <w:sz w:val="24"/>
          <w:szCs w:val="24"/>
        </w:rPr>
        <w:t>2</w:t>
      </w:r>
      <w:r w:rsidR="00780302">
        <w:rPr>
          <w:rFonts w:ascii="Arial" w:hAnsi="Arial" w:cs="Arial"/>
          <w:sz w:val="24"/>
          <w:szCs w:val="24"/>
        </w:rPr>
        <w:t>6-</w:t>
      </w:r>
      <w:r w:rsidR="00907D62" w:rsidRPr="21DFFC41">
        <w:rPr>
          <w:rFonts w:ascii="Arial" w:hAnsi="Arial" w:cs="Arial"/>
          <w:sz w:val="24"/>
          <w:szCs w:val="24"/>
        </w:rPr>
        <w:t>2</w:t>
      </w:r>
      <w:r w:rsidR="00780302">
        <w:rPr>
          <w:rFonts w:ascii="Arial" w:hAnsi="Arial" w:cs="Arial"/>
          <w:sz w:val="24"/>
          <w:szCs w:val="24"/>
        </w:rPr>
        <w:t>7</w:t>
      </w:r>
      <w:r w:rsidR="00907D62" w:rsidRPr="21DFFC41">
        <w:rPr>
          <w:rFonts w:ascii="Arial" w:hAnsi="Arial" w:cs="Arial"/>
          <w:sz w:val="24"/>
          <w:szCs w:val="24"/>
        </w:rPr>
        <w:t xml:space="preserve"> academic year allocations</w:t>
      </w:r>
      <w:r w:rsidR="00461945" w:rsidRPr="21DFFC41">
        <w:rPr>
          <w:rFonts w:ascii="Arial" w:hAnsi="Arial" w:cs="Arial"/>
          <w:sz w:val="24"/>
          <w:szCs w:val="24"/>
        </w:rPr>
        <w:t xml:space="preserve"> will be added in due course</w:t>
      </w:r>
      <w:r w:rsidR="00907D62" w:rsidRPr="21DFFC41">
        <w:rPr>
          <w:rFonts w:ascii="Arial" w:hAnsi="Arial" w:cs="Arial"/>
          <w:sz w:val="24"/>
          <w:szCs w:val="24"/>
        </w:rPr>
        <w:t>.</w:t>
      </w:r>
      <w:r>
        <w:t xml:space="preserve"> </w:t>
      </w:r>
    </w:p>
    <w:p w14:paraId="55BB0E84" w14:textId="77777777" w:rsidR="00907D62" w:rsidRPr="00093E41" w:rsidRDefault="00907D62" w:rsidP="00D5523B">
      <w:pPr>
        <w:spacing w:after="0" w:line="240" w:lineRule="auto"/>
        <w:ind w:left="357"/>
        <w:rPr>
          <w:rFonts w:ascii="Arial" w:hAnsi="Arial" w:cs="Arial"/>
          <w:sz w:val="24"/>
        </w:rPr>
      </w:pPr>
    </w:p>
    <w:p w14:paraId="27DDC6E7" w14:textId="15C50DAB" w:rsidR="00BA432F" w:rsidRDefault="001B7ADF" w:rsidP="00D5523B">
      <w:pPr>
        <w:pStyle w:val="NoSpacing"/>
        <w:rPr>
          <w:rStyle w:val="Hyperlink"/>
          <w:rFonts w:ascii="Arial" w:hAnsi="Arial" w:cs="Arial"/>
          <w:sz w:val="24"/>
        </w:rPr>
      </w:pPr>
      <w:r>
        <w:rPr>
          <w:rFonts w:ascii="Arial" w:hAnsi="Arial" w:cs="Arial"/>
          <w:sz w:val="24"/>
        </w:rPr>
        <w:t xml:space="preserve">For more </w:t>
      </w:r>
      <w:r w:rsidR="00495E8B">
        <w:rPr>
          <w:rFonts w:ascii="Arial" w:hAnsi="Arial" w:cs="Arial"/>
          <w:sz w:val="24"/>
        </w:rPr>
        <w:t>information,</w:t>
      </w:r>
      <w:r>
        <w:rPr>
          <w:rFonts w:ascii="Arial" w:hAnsi="Arial" w:cs="Arial"/>
          <w:sz w:val="24"/>
        </w:rPr>
        <w:t xml:space="preserve"> please refer to the </w:t>
      </w:r>
      <w:r w:rsidR="0078210D">
        <w:rPr>
          <w:rFonts w:ascii="Arial" w:hAnsi="Arial" w:cs="Arial"/>
          <w:sz w:val="24"/>
        </w:rPr>
        <w:t>DfE</w:t>
      </w:r>
      <w:r>
        <w:rPr>
          <w:rFonts w:ascii="Arial" w:hAnsi="Arial" w:cs="Arial"/>
          <w:sz w:val="24"/>
        </w:rPr>
        <w:t xml:space="preserve"> 16-19 funding pages: </w:t>
      </w:r>
      <w:hyperlink r:id="rId21" w:history="1">
        <w:r w:rsidR="008368F5" w:rsidRPr="008368F5">
          <w:rPr>
            <w:rStyle w:val="Hyperlink"/>
            <w:rFonts w:ascii="Arial" w:hAnsi="Arial" w:cs="Arial"/>
            <w:sz w:val="24"/>
          </w:rPr>
          <w:t>https://www.gov.uk/guidance/16-to-19-funding-how-it-works</w:t>
        </w:r>
      </w:hyperlink>
    </w:p>
    <w:p w14:paraId="4349341D" w14:textId="77777777" w:rsidR="00AF5E9B" w:rsidRDefault="00AF5E9B" w:rsidP="00D5523B">
      <w:pPr>
        <w:pStyle w:val="NoSpacing"/>
        <w:rPr>
          <w:rStyle w:val="Hyperlink"/>
          <w:rFonts w:ascii="Arial" w:hAnsi="Arial" w:cs="Arial"/>
          <w:sz w:val="24"/>
        </w:rPr>
      </w:pPr>
    </w:p>
    <w:p w14:paraId="497D53DB" w14:textId="029E6676" w:rsidR="000B4846" w:rsidRDefault="00B60755" w:rsidP="78065883">
      <w:pPr>
        <w:pStyle w:val="NoSpacing"/>
        <w:rPr>
          <w:rFonts w:ascii="Arial" w:hAnsi="Arial" w:cs="Arial"/>
          <w:b/>
          <w:bCs/>
          <w:sz w:val="24"/>
          <w:szCs w:val="24"/>
        </w:rPr>
      </w:pPr>
      <w:r w:rsidRPr="78065883">
        <w:rPr>
          <w:rFonts w:ascii="Arial" w:hAnsi="Arial" w:cs="Arial"/>
          <w:b/>
          <w:bCs/>
          <w:sz w:val="24"/>
          <w:szCs w:val="24"/>
        </w:rPr>
        <w:t xml:space="preserve">Pupil Premium </w:t>
      </w:r>
    </w:p>
    <w:p w14:paraId="13CB7595" w14:textId="77777777" w:rsidR="00B60755" w:rsidRDefault="00B60755" w:rsidP="00D5523B">
      <w:pPr>
        <w:pStyle w:val="NoSpacing"/>
        <w:rPr>
          <w:rFonts w:ascii="Arial" w:hAnsi="Arial" w:cs="Arial"/>
          <w:b/>
          <w:sz w:val="24"/>
        </w:rPr>
      </w:pPr>
    </w:p>
    <w:p w14:paraId="6806CF1A" w14:textId="77777777" w:rsidR="000B4846" w:rsidRDefault="000B4846" w:rsidP="00D5523B">
      <w:pPr>
        <w:pStyle w:val="NoSpacing"/>
        <w:rPr>
          <w:rFonts w:ascii="Arial" w:hAnsi="Arial" w:cs="Arial"/>
          <w:sz w:val="24"/>
        </w:rPr>
      </w:pPr>
      <w:r w:rsidRPr="000B4846">
        <w:rPr>
          <w:rFonts w:ascii="Arial" w:hAnsi="Arial" w:cs="Arial"/>
          <w:sz w:val="24"/>
        </w:rPr>
        <w:t>The Pupil Premium is additional funding allocated to schools depending on the number of pupils eligible for Free School Meals (FSMs). The aim of this policy is to improve the outcomes of these pupils. It is recognised nationally that children who come from economically deprived backgrounds do less well academically than their peers. The premium also includes funding to support Children in Care and also children of service families.</w:t>
      </w:r>
    </w:p>
    <w:p w14:paraId="6844016B" w14:textId="77777777" w:rsidR="00102DF9" w:rsidRDefault="00102DF9" w:rsidP="00D5523B">
      <w:pPr>
        <w:pStyle w:val="NoSpacing"/>
        <w:ind w:left="360"/>
        <w:rPr>
          <w:rFonts w:ascii="Arial" w:hAnsi="Arial" w:cs="Arial"/>
          <w:sz w:val="24"/>
        </w:rPr>
      </w:pPr>
    </w:p>
    <w:p w14:paraId="13F75212" w14:textId="77777777" w:rsidR="002D43CD" w:rsidRDefault="000B4846" w:rsidP="00D5523B">
      <w:pPr>
        <w:pStyle w:val="NoSpacing"/>
        <w:rPr>
          <w:rFonts w:ascii="Arial" w:hAnsi="Arial" w:cs="Arial"/>
          <w:sz w:val="24"/>
        </w:rPr>
      </w:pPr>
      <w:r w:rsidRPr="000B4846">
        <w:rPr>
          <w:rFonts w:ascii="Arial" w:hAnsi="Arial" w:cs="Arial"/>
          <w:sz w:val="24"/>
        </w:rPr>
        <w:t>Schools are held to account for the use of the funding and are required to detail how the funding is used with a statement posted on their website. Governors are expected to monitor the use of the additional funding and ensure that it is well targeted.</w:t>
      </w:r>
    </w:p>
    <w:p w14:paraId="12143B1B" w14:textId="77777777" w:rsidR="00B7030F" w:rsidRPr="00F70927" w:rsidRDefault="00B7030F" w:rsidP="00D5523B">
      <w:pPr>
        <w:pStyle w:val="NoSpacing"/>
        <w:ind w:left="360"/>
        <w:rPr>
          <w:rFonts w:ascii="Arial" w:hAnsi="Arial" w:cs="Arial"/>
          <w:sz w:val="24"/>
        </w:rPr>
      </w:pPr>
    </w:p>
    <w:p w14:paraId="131A9B1D" w14:textId="77777777" w:rsidR="00C16221" w:rsidRDefault="00465D91" w:rsidP="00D5523B">
      <w:pPr>
        <w:pStyle w:val="NoSpacing"/>
        <w:rPr>
          <w:rFonts w:ascii="Arial" w:hAnsi="Arial" w:cs="Arial"/>
          <w:color w:val="000000" w:themeColor="text1"/>
          <w:sz w:val="24"/>
          <w:szCs w:val="24"/>
        </w:rPr>
      </w:pPr>
      <w:r w:rsidRPr="78065883">
        <w:rPr>
          <w:rFonts w:ascii="Arial" w:hAnsi="Arial" w:cs="Arial"/>
          <w:color w:val="000000" w:themeColor="text1"/>
          <w:sz w:val="24"/>
          <w:szCs w:val="24"/>
        </w:rPr>
        <w:t>Pupil Premium Grant funding will continue in the 202</w:t>
      </w:r>
      <w:r w:rsidR="00DD3800">
        <w:rPr>
          <w:rFonts w:ascii="Arial" w:hAnsi="Arial" w:cs="Arial"/>
          <w:color w:val="000000" w:themeColor="text1"/>
          <w:sz w:val="24"/>
          <w:szCs w:val="24"/>
        </w:rPr>
        <w:t>6-27</w:t>
      </w:r>
      <w:r w:rsidRPr="78065883">
        <w:rPr>
          <w:rFonts w:ascii="Arial" w:hAnsi="Arial" w:cs="Arial"/>
          <w:color w:val="000000" w:themeColor="text1"/>
          <w:sz w:val="24"/>
          <w:szCs w:val="24"/>
        </w:rPr>
        <w:t xml:space="preserve"> </w:t>
      </w:r>
      <w:r w:rsidR="00B60755" w:rsidRPr="78065883">
        <w:rPr>
          <w:rFonts w:ascii="Arial" w:hAnsi="Arial" w:cs="Arial"/>
          <w:color w:val="000000" w:themeColor="text1"/>
          <w:sz w:val="24"/>
          <w:szCs w:val="24"/>
        </w:rPr>
        <w:t xml:space="preserve">financial </w:t>
      </w:r>
      <w:r w:rsidRPr="78065883">
        <w:rPr>
          <w:rFonts w:ascii="Arial" w:hAnsi="Arial" w:cs="Arial"/>
          <w:color w:val="000000" w:themeColor="text1"/>
          <w:sz w:val="24"/>
          <w:szCs w:val="24"/>
        </w:rPr>
        <w:t>year</w:t>
      </w:r>
      <w:r w:rsidR="00C16221">
        <w:rPr>
          <w:rFonts w:ascii="Arial" w:hAnsi="Arial" w:cs="Arial"/>
          <w:color w:val="000000" w:themeColor="text1"/>
          <w:sz w:val="24"/>
          <w:szCs w:val="24"/>
        </w:rPr>
        <w:t xml:space="preserve">. The </w:t>
      </w:r>
      <w:r w:rsidRPr="78065883">
        <w:rPr>
          <w:rFonts w:ascii="Arial" w:hAnsi="Arial" w:cs="Arial"/>
          <w:color w:val="000000" w:themeColor="text1"/>
          <w:sz w:val="24"/>
          <w:szCs w:val="24"/>
        </w:rPr>
        <w:t xml:space="preserve">rates </w:t>
      </w:r>
      <w:r w:rsidR="00C16221">
        <w:rPr>
          <w:rFonts w:ascii="Arial" w:hAnsi="Arial" w:cs="Arial"/>
          <w:color w:val="000000" w:themeColor="text1"/>
          <w:sz w:val="24"/>
          <w:szCs w:val="24"/>
        </w:rPr>
        <w:t>are as follows:</w:t>
      </w:r>
    </w:p>
    <w:p w14:paraId="2FD08F90" w14:textId="77777777" w:rsidR="00C16221" w:rsidRDefault="00C16221" w:rsidP="00D5523B">
      <w:pPr>
        <w:pStyle w:val="NoSpacing"/>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7792"/>
        <w:gridCol w:w="2664"/>
      </w:tblGrid>
      <w:tr w:rsidR="001302D5" w14:paraId="0F75C19F" w14:textId="77777777" w:rsidTr="003E4A17">
        <w:tc>
          <w:tcPr>
            <w:tcW w:w="7792" w:type="dxa"/>
          </w:tcPr>
          <w:p w14:paraId="146C5EF8" w14:textId="62E19031" w:rsidR="001302D5" w:rsidRPr="003E4A17" w:rsidRDefault="003E4A17" w:rsidP="00D5523B">
            <w:pPr>
              <w:pStyle w:val="NoSpacing"/>
              <w:rPr>
                <w:rFonts w:ascii="Arial" w:hAnsi="Arial" w:cs="Arial"/>
                <w:b/>
                <w:bCs/>
                <w:color w:val="000000" w:themeColor="text1"/>
                <w:sz w:val="24"/>
                <w:szCs w:val="24"/>
              </w:rPr>
            </w:pPr>
            <w:r w:rsidRPr="003E4A17">
              <w:rPr>
                <w:rFonts w:ascii="Arial" w:hAnsi="Arial" w:cs="Arial"/>
                <w:b/>
                <w:bCs/>
                <w:color w:val="000000" w:themeColor="text1"/>
                <w:sz w:val="24"/>
                <w:szCs w:val="24"/>
              </w:rPr>
              <w:t>Pupil Premium Rates</w:t>
            </w:r>
          </w:p>
        </w:tc>
        <w:tc>
          <w:tcPr>
            <w:tcW w:w="2664" w:type="dxa"/>
          </w:tcPr>
          <w:p w14:paraId="1C84030D" w14:textId="5217778E" w:rsidR="001302D5" w:rsidRPr="003E4A17" w:rsidRDefault="00272EEB" w:rsidP="003E4A17">
            <w:pPr>
              <w:pStyle w:val="NoSpacing"/>
              <w:jc w:val="right"/>
              <w:rPr>
                <w:rFonts w:ascii="Arial" w:hAnsi="Arial" w:cs="Arial"/>
                <w:b/>
                <w:bCs/>
                <w:color w:val="000000" w:themeColor="text1"/>
                <w:sz w:val="24"/>
                <w:szCs w:val="24"/>
              </w:rPr>
            </w:pPr>
            <w:r w:rsidRPr="003E4A17">
              <w:rPr>
                <w:rFonts w:ascii="Arial" w:hAnsi="Arial" w:cs="Arial"/>
                <w:b/>
                <w:bCs/>
                <w:color w:val="000000" w:themeColor="text1"/>
                <w:sz w:val="24"/>
                <w:szCs w:val="24"/>
              </w:rPr>
              <w:t xml:space="preserve">2026-27 amount per eligible </w:t>
            </w:r>
            <w:r w:rsidR="00DF246B" w:rsidRPr="003E4A17">
              <w:rPr>
                <w:rFonts w:ascii="Arial" w:hAnsi="Arial" w:cs="Arial"/>
                <w:b/>
                <w:bCs/>
                <w:color w:val="000000" w:themeColor="text1"/>
                <w:sz w:val="24"/>
                <w:szCs w:val="24"/>
              </w:rPr>
              <w:t>p</w:t>
            </w:r>
            <w:r w:rsidRPr="003E4A17">
              <w:rPr>
                <w:rFonts w:ascii="Arial" w:hAnsi="Arial" w:cs="Arial"/>
                <w:b/>
                <w:bCs/>
                <w:color w:val="000000" w:themeColor="text1"/>
                <w:sz w:val="24"/>
                <w:szCs w:val="24"/>
              </w:rPr>
              <w:t>upil</w:t>
            </w:r>
          </w:p>
        </w:tc>
      </w:tr>
      <w:tr w:rsidR="001302D5" w14:paraId="36E9418F" w14:textId="77777777" w:rsidTr="003E4A17">
        <w:tc>
          <w:tcPr>
            <w:tcW w:w="7792" w:type="dxa"/>
          </w:tcPr>
          <w:p w14:paraId="3391B792" w14:textId="56136C57" w:rsidR="001302D5" w:rsidRDefault="00A76E4E" w:rsidP="00D5523B">
            <w:pPr>
              <w:pStyle w:val="NoSpacing"/>
              <w:rPr>
                <w:rFonts w:ascii="Arial" w:hAnsi="Arial" w:cs="Arial"/>
                <w:color w:val="000000" w:themeColor="text1"/>
                <w:sz w:val="24"/>
                <w:szCs w:val="24"/>
              </w:rPr>
            </w:pPr>
            <w:r>
              <w:rPr>
                <w:rFonts w:ascii="Arial" w:hAnsi="Arial" w:cs="Arial"/>
                <w:color w:val="000000" w:themeColor="text1"/>
                <w:sz w:val="24"/>
                <w:szCs w:val="24"/>
              </w:rPr>
              <w:t>Primary pupils who are eligible for free school meals, or who have been eligible in the past 6 years</w:t>
            </w:r>
          </w:p>
        </w:tc>
        <w:tc>
          <w:tcPr>
            <w:tcW w:w="2664" w:type="dxa"/>
          </w:tcPr>
          <w:p w14:paraId="783C2876" w14:textId="14E029C9" w:rsidR="001302D5" w:rsidRDefault="00272EEB" w:rsidP="003E4A17">
            <w:pPr>
              <w:pStyle w:val="NoSpacing"/>
              <w:jc w:val="right"/>
              <w:rPr>
                <w:rFonts w:ascii="Arial" w:hAnsi="Arial" w:cs="Arial"/>
                <w:color w:val="000000" w:themeColor="text1"/>
                <w:sz w:val="24"/>
                <w:szCs w:val="24"/>
              </w:rPr>
            </w:pPr>
            <w:r>
              <w:rPr>
                <w:rFonts w:ascii="Arial" w:hAnsi="Arial" w:cs="Arial"/>
                <w:color w:val="000000" w:themeColor="text1"/>
                <w:sz w:val="24"/>
                <w:szCs w:val="24"/>
              </w:rPr>
              <w:t>£1,550</w:t>
            </w:r>
          </w:p>
        </w:tc>
      </w:tr>
      <w:tr w:rsidR="001302D5" w14:paraId="1399A53C" w14:textId="77777777" w:rsidTr="003E4A17">
        <w:tc>
          <w:tcPr>
            <w:tcW w:w="7792" w:type="dxa"/>
          </w:tcPr>
          <w:p w14:paraId="2D84ED2F" w14:textId="1EB6E25E" w:rsidR="001302D5" w:rsidRDefault="00272EEB" w:rsidP="00D5523B">
            <w:pPr>
              <w:pStyle w:val="NoSpacing"/>
              <w:rPr>
                <w:rFonts w:ascii="Arial" w:hAnsi="Arial" w:cs="Arial"/>
                <w:color w:val="000000" w:themeColor="text1"/>
                <w:sz w:val="24"/>
                <w:szCs w:val="24"/>
              </w:rPr>
            </w:pPr>
            <w:r>
              <w:rPr>
                <w:rFonts w:ascii="Arial" w:hAnsi="Arial" w:cs="Arial"/>
                <w:color w:val="000000" w:themeColor="text1"/>
                <w:sz w:val="24"/>
                <w:szCs w:val="24"/>
              </w:rPr>
              <w:t>Secondary pupils who are eligible for free school meals, or who have been eligible in the past 6 years</w:t>
            </w:r>
          </w:p>
        </w:tc>
        <w:tc>
          <w:tcPr>
            <w:tcW w:w="2664" w:type="dxa"/>
          </w:tcPr>
          <w:p w14:paraId="5F8BDC92" w14:textId="5C850388" w:rsidR="001302D5" w:rsidRDefault="00272EEB" w:rsidP="003E4A17">
            <w:pPr>
              <w:pStyle w:val="NoSpacing"/>
              <w:jc w:val="right"/>
              <w:rPr>
                <w:rFonts w:ascii="Arial" w:hAnsi="Arial" w:cs="Arial"/>
                <w:color w:val="000000" w:themeColor="text1"/>
                <w:sz w:val="24"/>
                <w:szCs w:val="24"/>
              </w:rPr>
            </w:pPr>
            <w:r>
              <w:rPr>
                <w:rFonts w:ascii="Arial" w:hAnsi="Arial" w:cs="Arial"/>
                <w:color w:val="000000" w:themeColor="text1"/>
                <w:sz w:val="24"/>
                <w:szCs w:val="24"/>
              </w:rPr>
              <w:t>£1,100</w:t>
            </w:r>
          </w:p>
        </w:tc>
      </w:tr>
      <w:tr w:rsidR="001302D5" w14:paraId="11716189" w14:textId="77777777" w:rsidTr="003E4A17">
        <w:tc>
          <w:tcPr>
            <w:tcW w:w="7792" w:type="dxa"/>
          </w:tcPr>
          <w:p w14:paraId="08649A42" w14:textId="5968FE61" w:rsidR="001302D5" w:rsidRDefault="00272EEB" w:rsidP="00D5523B">
            <w:pPr>
              <w:pStyle w:val="NoSpacing"/>
              <w:rPr>
                <w:rFonts w:ascii="Arial" w:hAnsi="Arial" w:cs="Arial"/>
                <w:color w:val="000000" w:themeColor="text1"/>
                <w:sz w:val="24"/>
                <w:szCs w:val="24"/>
              </w:rPr>
            </w:pPr>
            <w:r>
              <w:rPr>
                <w:rFonts w:ascii="Arial" w:hAnsi="Arial" w:cs="Arial"/>
                <w:color w:val="000000" w:themeColor="text1"/>
                <w:sz w:val="24"/>
                <w:szCs w:val="24"/>
              </w:rPr>
              <w:t>Pupils previously looked after by a local authority or other state care</w:t>
            </w:r>
          </w:p>
        </w:tc>
        <w:tc>
          <w:tcPr>
            <w:tcW w:w="2664" w:type="dxa"/>
          </w:tcPr>
          <w:p w14:paraId="167E96F1" w14:textId="30EFB902" w:rsidR="001302D5" w:rsidRDefault="00272EEB" w:rsidP="003E4A17">
            <w:pPr>
              <w:pStyle w:val="NoSpacing"/>
              <w:jc w:val="right"/>
              <w:rPr>
                <w:rFonts w:ascii="Arial" w:hAnsi="Arial" w:cs="Arial"/>
                <w:color w:val="000000" w:themeColor="text1"/>
                <w:sz w:val="24"/>
                <w:szCs w:val="24"/>
              </w:rPr>
            </w:pPr>
            <w:r>
              <w:rPr>
                <w:rFonts w:ascii="Arial" w:hAnsi="Arial" w:cs="Arial"/>
                <w:color w:val="000000" w:themeColor="text1"/>
                <w:sz w:val="24"/>
                <w:szCs w:val="24"/>
              </w:rPr>
              <w:t>£2,690</w:t>
            </w:r>
          </w:p>
        </w:tc>
      </w:tr>
      <w:tr w:rsidR="00272EEB" w14:paraId="7B4D7159" w14:textId="77777777" w:rsidTr="003E4A17">
        <w:tc>
          <w:tcPr>
            <w:tcW w:w="7792" w:type="dxa"/>
          </w:tcPr>
          <w:p w14:paraId="6C538361" w14:textId="4239C1DD" w:rsidR="00272EEB" w:rsidRDefault="00272EEB" w:rsidP="00D5523B">
            <w:pPr>
              <w:pStyle w:val="NoSpacing"/>
              <w:rPr>
                <w:rFonts w:ascii="Arial" w:hAnsi="Arial" w:cs="Arial"/>
                <w:color w:val="000000" w:themeColor="text1"/>
                <w:sz w:val="24"/>
                <w:szCs w:val="24"/>
              </w:rPr>
            </w:pPr>
            <w:r>
              <w:rPr>
                <w:rFonts w:ascii="Arial" w:hAnsi="Arial" w:cs="Arial"/>
                <w:color w:val="000000" w:themeColor="text1"/>
                <w:sz w:val="24"/>
                <w:szCs w:val="24"/>
              </w:rPr>
              <w:t>Children who are looked after by the local authority</w:t>
            </w:r>
          </w:p>
        </w:tc>
        <w:tc>
          <w:tcPr>
            <w:tcW w:w="2664" w:type="dxa"/>
          </w:tcPr>
          <w:p w14:paraId="5AE416D9" w14:textId="0F01274B" w:rsidR="00272EEB" w:rsidRDefault="00272EEB" w:rsidP="003E4A17">
            <w:pPr>
              <w:pStyle w:val="NoSpacing"/>
              <w:jc w:val="right"/>
              <w:rPr>
                <w:rFonts w:ascii="Arial" w:hAnsi="Arial" w:cs="Arial"/>
                <w:color w:val="000000" w:themeColor="text1"/>
                <w:sz w:val="24"/>
                <w:szCs w:val="24"/>
              </w:rPr>
            </w:pPr>
            <w:r>
              <w:rPr>
                <w:rFonts w:ascii="Arial" w:hAnsi="Arial" w:cs="Arial"/>
                <w:color w:val="000000" w:themeColor="text1"/>
                <w:sz w:val="24"/>
                <w:szCs w:val="24"/>
              </w:rPr>
              <w:t>£2,690</w:t>
            </w:r>
          </w:p>
        </w:tc>
      </w:tr>
      <w:tr w:rsidR="00272EEB" w14:paraId="29345038" w14:textId="77777777" w:rsidTr="003E4A17">
        <w:tc>
          <w:tcPr>
            <w:tcW w:w="7792" w:type="dxa"/>
          </w:tcPr>
          <w:p w14:paraId="75D68161" w14:textId="1ECCB31E" w:rsidR="00272EEB" w:rsidRDefault="00272EEB" w:rsidP="00D5523B">
            <w:pPr>
              <w:pStyle w:val="NoSpacing"/>
              <w:rPr>
                <w:rFonts w:ascii="Arial" w:hAnsi="Arial" w:cs="Arial"/>
                <w:color w:val="000000" w:themeColor="text1"/>
                <w:sz w:val="24"/>
                <w:szCs w:val="24"/>
              </w:rPr>
            </w:pPr>
            <w:r>
              <w:rPr>
                <w:rFonts w:ascii="Arial" w:hAnsi="Arial" w:cs="Arial"/>
                <w:color w:val="000000" w:themeColor="text1"/>
                <w:sz w:val="24"/>
                <w:szCs w:val="24"/>
              </w:rPr>
              <w:t>Service pupil premium for schools with children and young people of service families</w:t>
            </w:r>
          </w:p>
        </w:tc>
        <w:tc>
          <w:tcPr>
            <w:tcW w:w="2664" w:type="dxa"/>
          </w:tcPr>
          <w:p w14:paraId="412E5309" w14:textId="238503BF" w:rsidR="00272EEB" w:rsidRDefault="00272EEB" w:rsidP="003E4A17">
            <w:pPr>
              <w:pStyle w:val="NoSpacing"/>
              <w:jc w:val="right"/>
              <w:rPr>
                <w:rFonts w:ascii="Arial" w:hAnsi="Arial" w:cs="Arial"/>
                <w:color w:val="000000" w:themeColor="text1"/>
                <w:sz w:val="24"/>
                <w:szCs w:val="24"/>
              </w:rPr>
            </w:pPr>
            <w:r>
              <w:rPr>
                <w:rFonts w:ascii="Arial" w:hAnsi="Arial" w:cs="Arial"/>
                <w:color w:val="000000" w:themeColor="text1"/>
                <w:sz w:val="24"/>
                <w:szCs w:val="24"/>
              </w:rPr>
              <w:t>£360</w:t>
            </w:r>
          </w:p>
        </w:tc>
      </w:tr>
    </w:tbl>
    <w:p w14:paraId="46B4F86E" w14:textId="77777777" w:rsidR="00C16221" w:rsidRDefault="00C16221" w:rsidP="00D5523B">
      <w:pPr>
        <w:pStyle w:val="NoSpacing"/>
        <w:rPr>
          <w:rFonts w:ascii="Arial" w:hAnsi="Arial" w:cs="Arial"/>
          <w:color w:val="000000" w:themeColor="text1"/>
          <w:sz w:val="24"/>
          <w:szCs w:val="24"/>
        </w:rPr>
      </w:pPr>
    </w:p>
    <w:p w14:paraId="4296D406" w14:textId="385833F0" w:rsidR="00F105C8" w:rsidRDefault="00465D91" w:rsidP="00D5523B">
      <w:pPr>
        <w:pStyle w:val="NoSpacing"/>
        <w:rPr>
          <w:rFonts w:ascii="Arial" w:hAnsi="Arial" w:cs="Arial"/>
          <w:color w:val="000000"/>
          <w:sz w:val="24"/>
          <w:szCs w:val="24"/>
        </w:rPr>
      </w:pPr>
      <w:r w:rsidRPr="78065883">
        <w:rPr>
          <w:rFonts w:ascii="Arial" w:hAnsi="Arial" w:cs="Arial"/>
          <w:color w:val="000000" w:themeColor="text1"/>
          <w:sz w:val="24"/>
          <w:szCs w:val="24"/>
        </w:rPr>
        <w:t>The numbers of eligible PPG pupils will be taken from the October 202</w:t>
      </w:r>
      <w:r w:rsidR="00DD3800">
        <w:rPr>
          <w:rFonts w:ascii="Arial" w:hAnsi="Arial" w:cs="Arial"/>
          <w:color w:val="000000" w:themeColor="text1"/>
          <w:sz w:val="24"/>
          <w:szCs w:val="24"/>
        </w:rPr>
        <w:t>5</w:t>
      </w:r>
      <w:r w:rsidRPr="78065883">
        <w:rPr>
          <w:rFonts w:ascii="Arial" w:hAnsi="Arial" w:cs="Arial"/>
          <w:color w:val="000000" w:themeColor="text1"/>
          <w:sz w:val="24"/>
          <w:szCs w:val="24"/>
        </w:rPr>
        <w:t xml:space="preserve"> census</w:t>
      </w:r>
      <w:r w:rsidR="00B60755" w:rsidRPr="78065883">
        <w:rPr>
          <w:rFonts w:ascii="Arial" w:hAnsi="Arial" w:cs="Arial"/>
          <w:color w:val="000000" w:themeColor="text1"/>
          <w:sz w:val="24"/>
          <w:szCs w:val="24"/>
        </w:rPr>
        <w:t>.</w:t>
      </w:r>
    </w:p>
    <w:p w14:paraId="47371080" w14:textId="77777777" w:rsidR="00B60755" w:rsidRDefault="00B60755" w:rsidP="00D5523B">
      <w:pPr>
        <w:pStyle w:val="NoSpacing"/>
      </w:pPr>
    </w:p>
    <w:p w14:paraId="3FE801B8" w14:textId="4235FB12" w:rsidR="00F105C8" w:rsidRPr="00F105C8" w:rsidRDefault="00F105C8" w:rsidP="00D5523B">
      <w:pPr>
        <w:pStyle w:val="NoSpacing"/>
        <w:rPr>
          <w:rFonts w:ascii="Arial" w:hAnsi="Arial" w:cs="Arial"/>
          <w:color w:val="000000"/>
          <w:sz w:val="24"/>
          <w:szCs w:val="24"/>
        </w:rPr>
      </w:pPr>
      <w:bookmarkStart w:id="13" w:name="_Hlk128129803"/>
      <w:r w:rsidRPr="00F105C8">
        <w:rPr>
          <w:rFonts w:ascii="Arial" w:hAnsi="Arial" w:cs="Arial"/>
          <w:sz w:val="24"/>
          <w:szCs w:val="24"/>
        </w:rPr>
        <w:t xml:space="preserve">The DfE has provided the number of pupils by school previously eligible for FSM, as per past census data. This information </w:t>
      </w:r>
      <w:r w:rsidR="00B60755">
        <w:rPr>
          <w:rFonts w:ascii="Arial" w:hAnsi="Arial" w:cs="Arial"/>
          <w:sz w:val="24"/>
          <w:szCs w:val="24"/>
        </w:rPr>
        <w:t>will be made</w:t>
      </w:r>
      <w:r w:rsidRPr="00F105C8">
        <w:rPr>
          <w:rFonts w:ascii="Arial" w:hAnsi="Arial" w:cs="Arial"/>
          <w:sz w:val="24"/>
          <w:szCs w:val="24"/>
        </w:rPr>
        <w:t xml:space="preserve"> available via </w:t>
      </w:r>
      <w:hyperlink r:id="rId22" w:history="1">
        <w:r w:rsidRPr="00F105C8">
          <w:rPr>
            <w:rStyle w:val="Hyperlink"/>
            <w:rFonts w:ascii="Arial" w:hAnsi="Arial" w:cs="Arial"/>
            <w:sz w:val="24"/>
            <w:szCs w:val="24"/>
          </w:rPr>
          <w:t>Get Information About Pupils (GIAP).</w:t>
        </w:r>
      </w:hyperlink>
    </w:p>
    <w:bookmarkEnd w:id="13"/>
    <w:p w14:paraId="056E55B6" w14:textId="77777777" w:rsidR="006B2B70" w:rsidRDefault="006B2B70" w:rsidP="00D5523B">
      <w:pPr>
        <w:pStyle w:val="NoSpacing"/>
        <w:ind w:left="360"/>
        <w:rPr>
          <w:rFonts w:ascii="Arial" w:hAnsi="Arial" w:cs="Arial"/>
          <w:sz w:val="24"/>
        </w:rPr>
      </w:pPr>
    </w:p>
    <w:p w14:paraId="423FBB54" w14:textId="262E821F" w:rsidR="005D3C3F" w:rsidRDefault="002E7678" w:rsidP="00D5523B">
      <w:pPr>
        <w:pStyle w:val="NoSpacing"/>
        <w:rPr>
          <w:rFonts w:ascii="Arial" w:hAnsi="Arial" w:cs="Arial"/>
          <w:sz w:val="24"/>
        </w:rPr>
      </w:pPr>
      <w:r w:rsidRPr="009F5CB7">
        <w:rPr>
          <w:rFonts w:ascii="Arial" w:hAnsi="Arial" w:cs="Arial"/>
          <w:sz w:val="24"/>
        </w:rPr>
        <w:t xml:space="preserve">For more </w:t>
      </w:r>
      <w:r w:rsidR="004D4017" w:rsidRPr="009F5CB7">
        <w:rPr>
          <w:rFonts w:ascii="Arial" w:hAnsi="Arial" w:cs="Arial"/>
          <w:sz w:val="24"/>
        </w:rPr>
        <w:t>information,</w:t>
      </w:r>
      <w:r w:rsidRPr="009F5CB7">
        <w:rPr>
          <w:rFonts w:ascii="Arial" w:hAnsi="Arial" w:cs="Arial"/>
          <w:sz w:val="24"/>
        </w:rPr>
        <w:t xml:space="preserve"> please refer to the DfE pupil premium page: </w:t>
      </w:r>
    </w:p>
    <w:p w14:paraId="7F6F7E80" w14:textId="37694C27" w:rsidR="00AF5E9B" w:rsidRDefault="00E22374" w:rsidP="00D5523B">
      <w:pPr>
        <w:pStyle w:val="NoSpacing"/>
        <w:rPr>
          <w:rStyle w:val="Hyperlink"/>
          <w:rFonts w:ascii="Arial" w:hAnsi="Arial" w:cs="Arial"/>
          <w:sz w:val="24"/>
        </w:rPr>
      </w:pPr>
      <w:hyperlink r:id="rId23" w:history="1">
        <w:r w:rsidRPr="00ED3C18">
          <w:rPr>
            <w:rStyle w:val="Hyperlink"/>
            <w:rFonts w:ascii="Arial" w:hAnsi="Arial" w:cs="Arial"/>
            <w:sz w:val="24"/>
          </w:rPr>
          <w:t>https://www.gov.uk/government/publications/pupil-premium/pupil-premium</w:t>
        </w:r>
      </w:hyperlink>
    </w:p>
    <w:p w14:paraId="0737FAFE" w14:textId="77777777" w:rsidR="00363E11" w:rsidRDefault="00363E11" w:rsidP="00D5523B">
      <w:pPr>
        <w:pStyle w:val="NoSpacing"/>
        <w:rPr>
          <w:rFonts w:ascii="Arial" w:hAnsi="Arial" w:cs="Arial"/>
          <w:b/>
          <w:sz w:val="24"/>
        </w:rPr>
      </w:pPr>
      <w:bookmarkStart w:id="14" w:name="_Hlk128129850"/>
    </w:p>
    <w:p w14:paraId="4C8C527C" w14:textId="77777777" w:rsidR="0031072C" w:rsidRDefault="0031072C" w:rsidP="00D5523B">
      <w:pPr>
        <w:pStyle w:val="NoSpacing"/>
        <w:rPr>
          <w:rFonts w:ascii="Arial" w:hAnsi="Arial" w:cs="Arial"/>
          <w:b/>
          <w:sz w:val="24"/>
        </w:rPr>
      </w:pPr>
    </w:p>
    <w:p w14:paraId="7F931A6B" w14:textId="77777777" w:rsidR="0031072C" w:rsidRDefault="0031072C" w:rsidP="00D5523B">
      <w:pPr>
        <w:pStyle w:val="NoSpacing"/>
        <w:rPr>
          <w:rFonts w:ascii="Arial" w:hAnsi="Arial" w:cs="Arial"/>
          <w:b/>
          <w:sz w:val="24"/>
        </w:rPr>
      </w:pPr>
    </w:p>
    <w:p w14:paraId="6FBFECEB" w14:textId="77777777" w:rsidR="0031072C" w:rsidRDefault="0031072C" w:rsidP="00D5523B">
      <w:pPr>
        <w:pStyle w:val="NoSpacing"/>
        <w:rPr>
          <w:rFonts w:ascii="Arial" w:hAnsi="Arial" w:cs="Arial"/>
          <w:b/>
          <w:sz w:val="24"/>
        </w:rPr>
      </w:pPr>
    </w:p>
    <w:p w14:paraId="251C52FA" w14:textId="77777777" w:rsidR="0031072C" w:rsidRDefault="0031072C" w:rsidP="00D5523B">
      <w:pPr>
        <w:pStyle w:val="NoSpacing"/>
        <w:rPr>
          <w:rFonts w:ascii="Arial" w:hAnsi="Arial" w:cs="Arial"/>
          <w:b/>
          <w:sz w:val="24"/>
        </w:rPr>
      </w:pPr>
    </w:p>
    <w:p w14:paraId="4B0DA775" w14:textId="30F0E8B6" w:rsidR="00AF5E9B" w:rsidRPr="00481A23" w:rsidRDefault="00481A23" w:rsidP="00D5523B">
      <w:pPr>
        <w:pStyle w:val="NoSpacing"/>
        <w:rPr>
          <w:rFonts w:ascii="Arial" w:hAnsi="Arial" w:cs="Arial"/>
          <w:b/>
          <w:sz w:val="24"/>
        </w:rPr>
      </w:pPr>
      <w:r w:rsidRPr="00481A23">
        <w:rPr>
          <w:rFonts w:ascii="Arial" w:hAnsi="Arial" w:cs="Arial"/>
          <w:b/>
          <w:sz w:val="24"/>
        </w:rPr>
        <w:lastRenderedPageBreak/>
        <w:t>Primary and PE Sport Grant</w:t>
      </w:r>
    </w:p>
    <w:p w14:paraId="077949B6" w14:textId="77777777" w:rsidR="00481A23" w:rsidRPr="00AF5E9B" w:rsidRDefault="00481A23" w:rsidP="00D5523B">
      <w:pPr>
        <w:pStyle w:val="NoSpacing"/>
      </w:pPr>
    </w:p>
    <w:p w14:paraId="22F0204C" w14:textId="3845F49B" w:rsidR="00AF5E9B" w:rsidRPr="00AF5E9B" w:rsidRDefault="00AF5E9B" w:rsidP="78065883">
      <w:pPr>
        <w:spacing w:line="240" w:lineRule="auto"/>
        <w:rPr>
          <w:rFonts w:ascii="Arial" w:hAnsi="Arial" w:cs="Arial"/>
          <w:sz w:val="24"/>
          <w:szCs w:val="24"/>
        </w:rPr>
      </w:pPr>
      <w:r w:rsidRPr="78065883">
        <w:rPr>
          <w:rFonts w:ascii="Arial" w:hAnsi="Arial" w:cs="Arial"/>
          <w:sz w:val="24"/>
          <w:szCs w:val="24"/>
        </w:rPr>
        <w:t xml:space="preserve">This premium is to be used to fund improvements to the provision of PE and sport, for the benefit of primary-aged pupils, in the academic year to give them the opportunity to develop a healthy lifestyle. The premium for the academic year is funded over two instalments. For the </w:t>
      </w:r>
      <w:r w:rsidR="004865DD">
        <w:rPr>
          <w:rFonts w:ascii="Arial" w:hAnsi="Arial" w:cs="Arial"/>
          <w:sz w:val="24"/>
          <w:szCs w:val="24"/>
        </w:rPr>
        <w:t xml:space="preserve">2024/25 </w:t>
      </w:r>
      <w:r w:rsidRPr="78065883">
        <w:rPr>
          <w:rFonts w:ascii="Arial" w:hAnsi="Arial" w:cs="Arial"/>
          <w:sz w:val="24"/>
          <w:szCs w:val="24"/>
        </w:rPr>
        <w:t>academic year, the first payment is October/November while the second instalment will fall in the first half of the following financial year, due May time.</w:t>
      </w:r>
    </w:p>
    <w:p w14:paraId="7113DA86" w14:textId="14A0589E" w:rsidR="00AF5E9B" w:rsidRPr="00AF5E9B" w:rsidRDefault="00AF5E9B" w:rsidP="00D5523B">
      <w:pPr>
        <w:spacing w:line="240" w:lineRule="auto"/>
        <w:rPr>
          <w:rFonts w:ascii="Arial" w:hAnsi="Arial" w:cs="Arial"/>
          <w:sz w:val="24"/>
          <w:szCs w:val="24"/>
        </w:rPr>
      </w:pPr>
      <w:r w:rsidRPr="21DFFC41">
        <w:rPr>
          <w:rFonts w:ascii="Arial" w:hAnsi="Arial" w:cs="Arial"/>
          <w:sz w:val="24"/>
          <w:szCs w:val="24"/>
        </w:rPr>
        <w:t>Allocations for the academic year 202</w:t>
      </w:r>
      <w:r w:rsidR="00056BD6">
        <w:rPr>
          <w:rFonts w:ascii="Arial" w:hAnsi="Arial" w:cs="Arial"/>
          <w:sz w:val="24"/>
          <w:szCs w:val="24"/>
        </w:rPr>
        <w:t xml:space="preserve">5-26 </w:t>
      </w:r>
      <w:r w:rsidRPr="21DFFC41">
        <w:rPr>
          <w:rFonts w:ascii="Arial" w:hAnsi="Arial" w:cs="Arial"/>
          <w:sz w:val="24"/>
          <w:szCs w:val="24"/>
        </w:rPr>
        <w:t>used the number of pupils in years 1 to 6 (or aged 5 to 10 years where pupils are not recorded by year group), as recorded on January 202</w:t>
      </w:r>
      <w:r w:rsidR="00056BD6">
        <w:rPr>
          <w:rFonts w:ascii="Arial" w:hAnsi="Arial" w:cs="Arial"/>
          <w:sz w:val="24"/>
          <w:szCs w:val="24"/>
        </w:rPr>
        <w:t>5</w:t>
      </w:r>
      <w:r w:rsidRPr="21DFFC41">
        <w:rPr>
          <w:rFonts w:ascii="Arial" w:hAnsi="Arial" w:cs="Arial"/>
          <w:sz w:val="24"/>
          <w:szCs w:val="24"/>
        </w:rPr>
        <w:t xml:space="preserve"> census, as follows:</w:t>
      </w:r>
    </w:p>
    <w:p w14:paraId="73FE3181" w14:textId="169B0FF4" w:rsidR="00AF5E9B" w:rsidRPr="005B0C89" w:rsidRDefault="00AF5E9B" w:rsidP="00D5523B">
      <w:pPr>
        <w:pStyle w:val="ListParagraph"/>
        <w:numPr>
          <w:ilvl w:val="0"/>
          <w:numId w:val="41"/>
        </w:numPr>
        <w:spacing w:line="240" w:lineRule="auto"/>
        <w:rPr>
          <w:rFonts w:ascii="Arial" w:hAnsi="Arial" w:cs="Arial"/>
          <w:sz w:val="24"/>
          <w:szCs w:val="24"/>
        </w:rPr>
      </w:pPr>
      <w:r w:rsidRPr="005B0C89">
        <w:rPr>
          <w:rFonts w:ascii="Arial" w:hAnsi="Arial" w:cs="Arial"/>
          <w:sz w:val="24"/>
          <w:szCs w:val="24"/>
        </w:rPr>
        <w:t>schools with 17 or more pupils receive £16,000 plus £10 per pupil</w:t>
      </w:r>
    </w:p>
    <w:p w14:paraId="79BE0ECE" w14:textId="62191715" w:rsidR="00AF5E9B" w:rsidRPr="005B0C89" w:rsidRDefault="00AF5E9B" w:rsidP="00D5523B">
      <w:pPr>
        <w:pStyle w:val="ListParagraph"/>
        <w:numPr>
          <w:ilvl w:val="0"/>
          <w:numId w:val="41"/>
        </w:numPr>
        <w:spacing w:line="240" w:lineRule="auto"/>
        <w:rPr>
          <w:rFonts w:ascii="Arial" w:hAnsi="Arial" w:cs="Arial"/>
          <w:sz w:val="24"/>
          <w:szCs w:val="24"/>
        </w:rPr>
      </w:pPr>
      <w:r w:rsidRPr="005B0C89">
        <w:rPr>
          <w:rFonts w:ascii="Arial" w:hAnsi="Arial" w:cs="Arial"/>
          <w:sz w:val="24"/>
          <w:szCs w:val="24"/>
        </w:rPr>
        <w:t>schools with 16 or fewer pupils receive £1,000 per pupil</w:t>
      </w:r>
    </w:p>
    <w:p w14:paraId="070F6C77" w14:textId="065F2274" w:rsidR="00AF5E9B" w:rsidRDefault="00AF5E9B" w:rsidP="00D5523B">
      <w:pPr>
        <w:spacing w:line="240" w:lineRule="auto"/>
        <w:rPr>
          <w:rFonts w:ascii="Arial" w:hAnsi="Arial" w:cs="Arial"/>
          <w:sz w:val="24"/>
          <w:szCs w:val="24"/>
        </w:rPr>
      </w:pPr>
      <w:r w:rsidRPr="21DFFC41">
        <w:rPr>
          <w:rFonts w:ascii="Arial" w:hAnsi="Arial" w:cs="Arial"/>
          <w:sz w:val="24"/>
          <w:szCs w:val="24"/>
        </w:rPr>
        <w:t>The continuation of the Primary PE and Sport Premium for academic year 202</w:t>
      </w:r>
      <w:r w:rsidR="00056BD6">
        <w:rPr>
          <w:rFonts w:ascii="Arial" w:hAnsi="Arial" w:cs="Arial"/>
          <w:sz w:val="24"/>
          <w:szCs w:val="24"/>
        </w:rPr>
        <w:t>6-27</w:t>
      </w:r>
      <w:r w:rsidR="1171C8F8" w:rsidRPr="21DFFC41">
        <w:rPr>
          <w:rFonts w:ascii="Arial" w:hAnsi="Arial" w:cs="Arial"/>
          <w:sz w:val="24"/>
          <w:szCs w:val="24"/>
        </w:rPr>
        <w:t xml:space="preserve"> </w:t>
      </w:r>
      <w:r w:rsidRPr="21DFFC41">
        <w:rPr>
          <w:rFonts w:ascii="Arial" w:hAnsi="Arial" w:cs="Arial"/>
          <w:sz w:val="24"/>
          <w:szCs w:val="24"/>
        </w:rPr>
        <w:t>has not yet been confirmed by the DfE.</w:t>
      </w:r>
    </w:p>
    <w:p w14:paraId="21273E92" w14:textId="253ED524" w:rsidR="00375D6B" w:rsidRDefault="00AF5E9B" w:rsidP="00D5523B">
      <w:pPr>
        <w:spacing w:after="0" w:line="240" w:lineRule="auto"/>
        <w:rPr>
          <w:rFonts w:ascii="Arial" w:hAnsi="Arial" w:cs="Arial"/>
          <w:sz w:val="24"/>
        </w:rPr>
      </w:pPr>
      <w:r>
        <w:rPr>
          <w:rFonts w:ascii="Arial" w:hAnsi="Arial" w:cs="Arial"/>
          <w:sz w:val="24"/>
        </w:rPr>
        <w:t xml:space="preserve">Further information </w:t>
      </w:r>
      <w:r w:rsidR="006242D2">
        <w:rPr>
          <w:rFonts w:ascii="Arial" w:hAnsi="Arial" w:cs="Arial"/>
          <w:sz w:val="24"/>
        </w:rPr>
        <w:t xml:space="preserve">about the Primary PE and Sport Premium </w:t>
      </w:r>
      <w:r>
        <w:rPr>
          <w:rFonts w:ascii="Arial" w:hAnsi="Arial" w:cs="Arial"/>
          <w:sz w:val="24"/>
        </w:rPr>
        <w:t xml:space="preserve">can be found </w:t>
      </w:r>
      <w:hyperlink r:id="rId24" w:history="1">
        <w:r w:rsidRPr="00AF5E9B">
          <w:rPr>
            <w:rStyle w:val="Hyperlink"/>
            <w:rFonts w:ascii="Arial" w:hAnsi="Arial" w:cs="Arial"/>
            <w:sz w:val="24"/>
          </w:rPr>
          <w:t>here</w:t>
        </w:r>
      </w:hyperlink>
      <w:r>
        <w:rPr>
          <w:rFonts w:ascii="Arial" w:hAnsi="Arial" w:cs="Arial"/>
          <w:sz w:val="24"/>
        </w:rPr>
        <w:t>.</w:t>
      </w:r>
    </w:p>
    <w:p w14:paraId="231CA1F3" w14:textId="77777777" w:rsidR="00933F71" w:rsidRDefault="00933F71" w:rsidP="00D5523B">
      <w:pPr>
        <w:spacing w:after="0" w:line="240" w:lineRule="auto"/>
      </w:pPr>
    </w:p>
    <w:p w14:paraId="012779F8" w14:textId="5672B8B1" w:rsidR="0036275A" w:rsidRPr="006C068E" w:rsidRDefault="00C05470" w:rsidP="00D5523B">
      <w:pPr>
        <w:pStyle w:val="NoSpacing"/>
        <w:rPr>
          <w:rFonts w:ascii="Arial" w:hAnsi="Arial" w:cs="Arial"/>
          <w:b/>
          <w:sz w:val="24"/>
        </w:rPr>
      </w:pPr>
      <w:r w:rsidRPr="006C068E">
        <w:rPr>
          <w:rFonts w:ascii="Arial" w:hAnsi="Arial" w:cs="Arial"/>
          <w:b/>
          <w:sz w:val="24"/>
        </w:rPr>
        <w:t xml:space="preserve">Universal </w:t>
      </w:r>
      <w:r w:rsidR="006C068E" w:rsidRPr="006C068E">
        <w:rPr>
          <w:rFonts w:ascii="Arial" w:hAnsi="Arial" w:cs="Arial"/>
          <w:b/>
          <w:sz w:val="24"/>
        </w:rPr>
        <w:t>Infant Free School Meals</w:t>
      </w:r>
    </w:p>
    <w:p w14:paraId="57A92827" w14:textId="15D61635" w:rsidR="00AF5E9B" w:rsidRDefault="00AF5E9B" w:rsidP="00D5523B">
      <w:pPr>
        <w:pStyle w:val="NoSpacing"/>
      </w:pPr>
    </w:p>
    <w:p w14:paraId="4D251F3F" w14:textId="77777777" w:rsidR="006242D2" w:rsidRDefault="006242D2" w:rsidP="006242D2">
      <w:pPr>
        <w:pStyle w:val="NoSpacing"/>
        <w:rPr>
          <w:rFonts w:ascii="Arial" w:hAnsi="Arial" w:cs="Arial"/>
          <w:sz w:val="24"/>
          <w:szCs w:val="24"/>
        </w:rPr>
      </w:pPr>
      <w:r w:rsidRPr="006242D2">
        <w:rPr>
          <w:rFonts w:ascii="Arial" w:hAnsi="Arial" w:cs="Arial"/>
          <w:sz w:val="24"/>
          <w:szCs w:val="24"/>
        </w:rPr>
        <w:t>Universal Infant Free School Meals (UIFSM) provide funding for schools to offer free school meals to pupils in Reception, Year 1, and Year 2. The UIFSM grant is allocated on an academic-year basis. Each meal taken by an eligible pupil attracts £2.61, and allocations assume that a pupil will take 190 school meals over the academic year, generating £495.90 per eligible pupil.</w:t>
      </w:r>
    </w:p>
    <w:p w14:paraId="35D0FAAB" w14:textId="77777777" w:rsidR="006242D2" w:rsidRPr="006242D2" w:rsidRDefault="006242D2" w:rsidP="006242D2">
      <w:pPr>
        <w:pStyle w:val="NoSpacing"/>
        <w:rPr>
          <w:rFonts w:ascii="Arial" w:hAnsi="Arial" w:cs="Arial"/>
          <w:sz w:val="24"/>
          <w:szCs w:val="24"/>
        </w:rPr>
      </w:pPr>
    </w:p>
    <w:p w14:paraId="242C7FF1" w14:textId="77777777" w:rsidR="006242D2" w:rsidRDefault="006242D2" w:rsidP="006242D2">
      <w:pPr>
        <w:pStyle w:val="NoSpacing"/>
        <w:rPr>
          <w:rFonts w:ascii="Arial" w:hAnsi="Arial" w:cs="Arial"/>
          <w:sz w:val="24"/>
          <w:szCs w:val="24"/>
        </w:rPr>
      </w:pPr>
      <w:r w:rsidRPr="006242D2">
        <w:rPr>
          <w:rFonts w:ascii="Arial" w:hAnsi="Arial" w:cs="Arial"/>
          <w:sz w:val="24"/>
          <w:szCs w:val="24"/>
        </w:rPr>
        <w:t>Pupil numbers are based on those recorded as taking a meal in the October and January censuses of the previous academic year. Funding for April to August is paid on an actual basis, while the September to March payment is estimated using the previous year’s census figures.</w:t>
      </w:r>
    </w:p>
    <w:p w14:paraId="3C499F3D" w14:textId="77777777" w:rsidR="006242D2" w:rsidRPr="006242D2" w:rsidRDefault="006242D2" w:rsidP="006242D2">
      <w:pPr>
        <w:pStyle w:val="NoSpacing"/>
        <w:rPr>
          <w:rFonts w:ascii="Arial" w:hAnsi="Arial" w:cs="Arial"/>
          <w:sz w:val="24"/>
          <w:szCs w:val="24"/>
        </w:rPr>
      </w:pPr>
    </w:p>
    <w:p w14:paraId="18D74E8C" w14:textId="1BB269B9" w:rsidR="00AF5E9B" w:rsidRDefault="00AF5E9B" w:rsidP="00D5523B">
      <w:pPr>
        <w:pStyle w:val="NoSpacing"/>
        <w:rPr>
          <w:rFonts w:ascii="Arial" w:hAnsi="Arial" w:cs="Arial"/>
          <w:sz w:val="24"/>
        </w:rPr>
      </w:pPr>
      <w:r>
        <w:rPr>
          <w:rFonts w:ascii="Arial" w:hAnsi="Arial" w:cs="Arial"/>
          <w:sz w:val="24"/>
        </w:rPr>
        <w:t xml:space="preserve">Further information </w:t>
      </w:r>
      <w:r w:rsidR="006242D2">
        <w:rPr>
          <w:rFonts w:ascii="Arial" w:hAnsi="Arial" w:cs="Arial"/>
          <w:sz w:val="24"/>
        </w:rPr>
        <w:t>about UIFSM</w:t>
      </w:r>
      <w:r>
        <w:rPr>
          <w:rFonts w:ascii="Arial" w:hAnsi="Arial" w:cs="Arial"/>
          <w:sz w:val="24"/>
        </w:rPr>
        <w:t xml:space="preserve"> funding can be found </w:t>
      </w:r>
      <w:hyperlink r:id="rId25" w:history="1">
        <w:r w:rsidRPr="00AF5E9B">
          <w:rPr>
            <w:rStyle w:val="Hyperlink"/>
            <w:rFonts w:ascii="Arial" w:hAnsi="Arial" w:cs="Arial"/>
            <w:sz w:val="24"/>
          </w:rPr>
          <w:t>here</w:t>
        </w:r>
      </w:hyperlink>
      <w:r>
        <w:rPr>
          <w:rFonts w:ascii="Arial" w:hAnsi="Arial" w:cs="Arial"/>
          <w:sz w:val="24"/>
        </w:rPr>
        <w:t>.</w:t>
      </w:r>
    </w:p>
    <w:bookmarkEnd w:id="14"/>
    <w:p w14:paraId="02B41DA2" w14:textId="77777777" w:rsidR="00AF5E9B" w:rsidRPr="0036275A" w:rsidRDefault="00AF5E9B" w:rsidP="00D5523B">
      <w:pPr>
        <w:pStyle w:val="NoSpacing"/>
      </w:pPr>
    </w:p>
    <w:p w14:paraId="3D2194A3" w14:textId="4754AC11" w:rsidR="00D16F40" w:rsidRDefault="006C068E" w:rsidP="00D5523B">
      <w:pPr>
        <w:spacing w:line="240" w:lineRule="auto"/>
        <w:contextualSpacing/>
        <w:rPr>
          <w:rFonts w:ascii="Arial" w:hAnsi="Arial" w:cs="Arial"/>
          <w:b/>
          <w:bCs/>
          <w:color w:val="000000"/>
          <w:sz w:val="24"/>
          <w:szCs w:val="24"/>
        </w:rPr>
      </w:pPr>
      <w:r w:rsidRPr="78065883">
        <w:rPr>
          <w:rFonts w:ascii="Arial" w:hAnsi="Arial" w:cs="Arial"/>
          <w:b/>
          <w:bCs/>
          <w:color w:val="000000" w:themeColor="text1"/>
          <w:sz w:val="24"/>
          <w:szCs w:val="24"/>
        </w:rPr>
        <w:t>Devolved Formula Capital</w:t>
      </w:r>
    </w:p>
    <w:p w14:paraId="0924B404" w14:textId="77777777" w:rsidR="00D5523B" w:rsidRPr="006C068E" w:rsidRDefault="00D5523B" w:rsidP="00D5523B">
      <w:pPr>
        <w:spacing w:line="240" w:lineRule="auto"/>
        <w:contextualSpacing/>
        <w:rPr>
          <w:rFonts w:ascii="Arial" w:hAnsi="Arial" w:cs="Arial"/>
          <w:b/>
          <w:bCs/>
          <w:color w:val="000000"/>
          <w:sz w:val="24"/>
          <w:szCs w:val="23"/>
        </w:rPr>
      </w:pPr>
    </w:p>
    <w:p w14:paraId="2F3321CA" w14:textId="72EE1F62" w:rsidR="002E7678" w:rsidRPr="00E22374" w:rsidRDefault="002E7678" w:rsidP="00D5523B">
      <w:pPr>
        <w:spacing w:line="240" w:lineRule="auto"/>
        <w:rPr>
          <w:rFonts w:ascii="Arial" w:hAnsi="Arial" w:cs="Arial"/>
          <w:sz w:val="24"/>
          <w:szCs w:val="24"/>
          <w:u w:val="single"/>
        </w:rPr>
      </w:pPr>
      <w:r w:rsidRPr="78065883">
        <w:rPr>
          <w:rFonts w:ascii="Arial" w:hAnsi="Arial" w:cs="Arial"/>
          <w:color w:val="000000" w:themeColor="text1"/>
          <w:sz w:val="24"/>
          <w:szCs w:val="24"/>
        </w:rPr>
        <w:t xml:space="preserve">The </w:t>
      </w:r>
      <w:r w:rsidR="00E312E7" w:rsidRPr="78065883">
        <w:rPr>
          <w:rFonts w:ascii="Arial" w:hAnsi="Arial" w:cs="Arial"/>
          <w:color w:val="000000" w:themeColor="text1"/>
          <w:sz w:val="24"/>
          <w:szCs w:val="24"/>
        </w:rPr>
        <w:t xml:space="preserve">devolved </w:t>
      </w:r>
      <w:r w:rsidR="00712346" w:rsidRPr="78065883">
        <w:rPr>
          <w:rFonts w:ascii="Arial" w:hAnsi="Arial" w:cs="Arial"/>
          <w:color w:val="000000" w:themeColor="text1"/>
          <w:sz w:val="24"/>
          <w:szCs w:val="24"/>
        </w:rPr>
        <w:t xml:space="preserve">formula capital </w:t>
      </w:r>
      <w:r w:rsidR="00E312E7" w:rsidRPr="78065883">
        <w:rPr>
          <w:rFonts w:ascii="Arial" w:hAnsi="Arial" w:cs="Arial"/>
          <w:color w:val="000000" w:themeColor="text1"/>
          <w:sz w:val="24"/>
          <w:szCs w:val="24"/>
        </w:rPr>
        <w:t>rates for 20</w:t>
      </w:r>
      <w:r w:rsidR="0029219E" w:rsidRPr="78065883">
        <w:rPr>
          <w:rFonts w:ascii="Arial" w:hAnsi="Arial" w:cs="Arial"/>
          <w:color w:val="000000" w:themeColor="text1"/>
          <w:sz w:val="24"/>
          <w:szCs w:val="24"/>
        </w:rPr>
        <w:t>2</w:t>
      </w:r>
      <w:r w:rsidR="006B1087">
        <w:rPr>
          <w:rFonts w:ascii="Arial" w:hAnsi="Arial" w:cs="Arial"/>
          <w:color w:val="000000" w:themeColor="text1"/>
          <w:sz w:val="24"/>
          <w:szCs w:val="24"/>
        </w:rPr>
        <w:t>6-27</w:t>
      </w:r>
      <w:r w:rsidR="00E312E7" w:rsidRPr="78065883">
        <w:rPr>
          <w:rFonts w:ascii="Arial" w:hAnsi="Arial" w:cs="Arial"/>
          <w:color w:val="000000" w:themeColor="text1"/>
          <w:sz w:val="24"/>
          <w:szCs w:val="24"/>
        </w:rPr>
        <w:t xml:space="preserve"> financial year </w:t>
      </w:r>
      <w:r w:rsidR="00AD47FA" w:rsidRPr="78065883">
        <w:rPr>
          <w:rFonts w:ascii="Arial" w:hAnsi="Arial" w:cs="Arial"/>
          <w:color w:val="000000" w:themeColor="text1"/>
          <w:sz w:val="24"/>
          <w:szCs w:val="24"/>
        </w:rPr>
        <w:t>have not yet been announced.</w:t>
      </w:r>
    </w:p>
    <w:p w14:paraId="57A40717" w14:textId="6491AC00" w:rsidR="00040DCB" w:rsidRDefault="00040DCB" w:rsidP="00D5523B">
      <w:pPr>
        <w:pStyle w:val="NoSpacing"/>
        <w:rPr>
          <w:rFonts w:ascii="Arial" w:hAnsi="Arial" w:cs="Arial"/>
          <w:color w:val="000000"/>
          <w:sz w:val="24"/>
          <w:szCs w:val="23"/>
        </w:rPr>
      </w:pPr>
      <w:r w:rsidRPr="009F5CB7">
        <w:rPr>
          <w:rFonts w:ascii="Arial" w:hAnsi="Arial" w:cs="Arial"/>
          <w:sz w:val="24"/>
        </w:rPr>
        <w:t xml:space="preserve">For more </w:t>
      </w:r>
      <w:r w:rsidR="001653A3" w:rsidRPr="009F5CB7">
        <w:rPr>
          <w:rFonts w:ascii="Arial" w:hAnsi="Arial" w:cs="Arial"/>
          <w:sz w:val="24"/>
        </w:rPr>
        <w:t>information,</w:t>
      </w:r>
      <w:r w:rsidRPr="009F5CB7">
        <w:rPr>
          <w:rFonts w:ascii="Arial" w:hAnsi="Arial" w:cs="Arial"/>
          <w:sz w:val="24"/>
        </w:rPr>
        <w:t xml:space="preserve"> please refer to the DfE </w:t>
      </w:r>
      <w:r>
        <w:rPr>
          <w:rFonts w:ascii="Arial" w:hAnsi="Arial" w:cs="Arial"/>
          <w:sz w:val="24"/>
        </w:rPr>
        <w:t>capital allocations</w:t>
      </w:r>
      <w:r w:rsidRPr="009F5CB7">
        <w:rPr>
          <w:rFonts w:ascii="Arial" w:hAnsi="Arial" w:cs="Arial"/>
          <w:sz w:val="24"/>
        </w:rPr>
        <w:t xml:space="preserve"> pages</w:t>
      </w:r>
    </w:p>
    <w:p w14:paraId="4AB0ECD9" w14:textId="1438070C" w:rsidR="00212074" w:rsidRDefault="00E22374" w:rsidP="00D5523B">
      <w:pPr>
        <w:pStyle w:val="NoSpacing"/>
        <w:rPr>
          <w:rFonts w:ascii="Arial" w:hAnsi="Arial" w:cs="Arial"/>
          <w:color w:val="000000"/>
          <w:sz w:val="24"/>
          <w:szCs w:val="23"/>
        </w:rPr>
      </w:pPr>
      <w:hyperlink r:id="rId26" w:history="1">
        <w:r w:rsidRPr="00ED3C18">
          <w:rPr>
            <w:rStyle w:val="Hyperlink"/>
            <w:rFonts w:ascii="Arial" w:hAnsi="Arial" w:cs="Arial"/>
            <w:sz w:val="24"/>
            <w:szCs w:val="23"/>
          </w:rPr>
          <w:t>https://www.gov.uk/government/publications/capital-allocations</w:t>
        </w:r>
      </w:hyperlink>
      <w:r w:rsidR="00040DCB">
        <w:rPr>
          <w:rFonts w:ascii="Arial" w:hAnsi="Arial" w:cs="Arial"/>
          <w:color w:val="000000"/>
          <w:sz w:val="24"/>
          <w:szCs w:val="23"/>
        </w:rPr>
        <w:t xml:space="preserve"> </w:t>
      </w:r>
    </w:p>
    <w:p w14:paraId="19BDC75B" w14:textId="77777777" w:rsidR="00F9793A" w:rsidRDefault="00F9793A" w:rsidP="00D5523B">
      <w:pPr>
        <w:pStyle w:val="NoSpacing"/>
        <w:rPr>
          <w:rFonts w:ascii="Arial" w:hAnsi="Arial" w:cs="Arial"/>
          <w:color w:val="000000"/>
          <w:sz w:val="24"/>
          <w:szCs w:val="23"/>
        </w:rPr>
      </w:pPr>
    </w:p>
    <w:p w14:paraId="3FB7B0AA" w14:textId="77777777" w:rsidR="00A814F4" w:rsidRDefault="00A814F4" w:rsidP="00D5523B">
      <w:pPr>
        <w:pStyle w:val="NoSpacing"/>
        <w:rPr>
          <w:rFonts w:ascii="Arial" w:hAnsi="Arial" w:cs="Arial"/>
          <w:color w:val="000000"/>
          <w:sz w:val="24"/>
          <w:szCs w:val="23"/>
        </w:rPr>
      </w:pPr>
    </w:p>
    <w:p w14:paraId="3A93DB21" w14:textId="77777777" w:rsidR="0036275A" w:rsidRDefault="0036275A" w:rsidP="00620840">
      <w:pPr>
        <w:pStyle w:val="Heading1"/>
        <w:numPr>
          <w:ilvl w:val="0"/>
          <w:numId w:val="15"/>
        </w:numPr>
        <w:spacing w:before="0" w:line="240" w:lineRule="auto"/>
        <w:ind w:left="357" w:hanging="357"/>
        <w:rPr>
          <w:rFonts w:ascii="Arial" w:hAnsi="Arial" w:cs="Arial"/>
          <w:color w:val="1F497D" w:themeColor="text2"/>
        </w:rPr>
      </w:pPr>
      <w:bookmarkStart w:id="15" w:name="_Toc222471260"/>
      <w:r w:rsidRPr="3B954121">
        <w:rPr>
          <w:rFonts w:ascii="Arial" w:hAnsi="Arial" w:cs="Arial"/>
          <w:color w:val="1F487C"/>
        </w:rPr>
        <w:t>Schools Financial Value Standard (SFVS)</w:t>
      </w:r>
      <w:bookmarkEnd w:id="15"/>
    </w:p>
    <w:p w14:paraId="554A4758" w14:textId="77777777" w:rsidR="0036275A" w:rsidRDefault="0036275A" w:rsidP="00620840">
      <w:pPr>
        <w:spacing w:after="0" w:line="240" w:lineRule="auto"/>
        <w:ind w:left="357"/>
        <w:rPr>
          <w:rFonts w:ascii="Arial" w:hAnsi="Arial" w:cs="Arial"/>
          <w:color w:val="000000"/>
          <w:sz w:val="24"/>
          <w:szCs w:val="23"/>
        </w:rPr>
      </w:pPr>
    </w:p>
    <w:p w14:paraId="1D9FEA51" w14:textId="77777777" w:rsidR="0036275A" w:rsidRDefault="0036275A" w:rsidP="00620840">
      <w:pPr>
        <w:spacing w:line="240" w:lineRule="auto"/>
        <w:rPr>
          <w:rFonts w:ascii="Arial" w:hAnsi="Arial" w:cs="Arial"/>
          <w:color w:val="000000"/>
          <w:sz w:val="24"/>
          <w:szCs w:val="23"/>
        </w:rPr>
      </w:pPr>
      <w:r w:rsidRPr="000B7B3F">
        <w:rPr>
          <w:rFonts w:ascii="Arial" w:hAnsi="Arial" w:cs="Arial"/>
          <w:color w:val="000000"/>
          <w:sz w:val="24"/>
          <w:szCs w:val="23"/>
        </w:rPr>
        <w:t>The SFVS helps schools to manage their finances and to provide assurance to the local authority that they have secure financial management in place.</w:t>
      </w:r>
      <w:r>
        <w:rPr>
          <w:rFonts w:ascii="Arial" w:hAnsi="Arial" w:cs="Arial"/>
          <w:color w:val="000000"/>
          <w:sz w:val="24"/>
          <w:szCs w:val="23"/>
        </w:rPr>
        <w:t xml:space="preserve"> </w:t>
      </w:r>
    </w:p>
    <w:p w14:paraId="1AECD5C2" w14:textId="77777777" w:rsidR="0036275A" w:rsidRDefault="0036275A" w:rsidP="00D5523B">
      <w:pPr>
        <w:spacing w:after="0" w:line="240" w:lineRule="auto"/>
        <w:rPr>
          <w:rFonts w:ascii="Arial" w:hAnsi="Arial" w:cs="Arial"/>
          <w:color w:val="000000"/>
          <w:sz w:val="24"/>
          <w:szCs w:val="23"/>
        </w:rPr>
      </w:pPr>
      <w:r>
        <w:rPr>
          <w:rFonts w:ascii="Arial" w:hAnsi="Arial" w:cs="Arial"/>
          <w:color w:val="000000"/>
          <w:sz w:val="24"/>
          <w:szCs w:val="23"/>
        </w:rPr>
        <w:t>LA maintained schools are required to submit the SFVS annually to the authority. Further information can be found on the ESFA website:</w:t>
      </w:r>
    </w:p>
    <w:p w14:paraId="0AD12D06" w14:textId="77777777" w:rsidR="0036275A" w:rsidRDefault="0036275A" w:rsidP="00D5523B">
      <w:pPr>
        <w:spacing w:after="0" w:line="240" w:lineRule="auto"/>
        <w:rPr>
          <w:rStyle w:val="Hyperlink"/>
          <w:rFonts w:ascii="Arial" w:hAnsi="Arial" w:cs="Arial"/>
          <w:sz w:val="24"/>
          <w:szCs w:val="23"/>
        </w:rPr>
      </w:pPr>
      <w:hyperlink r:id="rId27" w:history="1">
        <w:r w:rsidRPr="00ED3C18">
          <w:rPr>
            <w:rStyle w:val="Hyperlink"/>
            <w:rFonts w:ascii="Arial" w:hAnsi="Arial" w:cs="Arial"/>
            <w:sz w:val="24"/>
            <w:szCs w:val="23"/>
          </w:rPr>
          <w:t>https://www.gov.uk/guidance/schools-financial-value-standard-and-assurance-sfvs</w:t>
        </w:r>
      </w:hyperlink>
    </w:p>
    <w:p w14:paraId="7A806932" w14:textId="77777777" w:rsidR="00E01375" w:rsidRDefault="00E01375" w:rsidP="00D5523B">
      <w:pPr>
        <w:spacing w:after="0" w:line="240" w:lineRule="auto"/>
        <w:rPr>
          <w:rFonts w:ascii="Arial" w:hAnsi="Arial" w:cs="Arial"/>
          <w:sz w:val="24"/>
        </w:rPr>
      </w:pPr>
    </w:p>
    <w:p w14:paraId="24F9542D" w14:textId="77777777" w:rsidR="00511792" w:rsidRPr="003D785F" w:rsidRDefault="00511792" w:rsidP="00D5523B">
      <w:pPr>
        <w:spacing w:after="0" w:line="240" w:lineRule="auto"/>
        <w:rPr>
          <w:rStyle w:val="Hyperlink"/>
          <w:rFonts w:ascii="Arial" w:hAnsi="Arial" w:cs="Arial"/>
          <w:sz w:val="24"/>
          <w:szCs w:val="23"/>
        </w:rPr>
      </w:pPr>
    </w:p>
    <w:p w14:paraId="70DCC727" w14:textId="75B39756" w:rsidR="00293886" w:rsidRDefault="00E603CE" w:rsidP="00620840">
      <w:pPr>
        <w:pStyle w:val="Heading1"/>
        <w:numPr>
          <w:ilvl w:val="0"/>
          <w:numId w:val="15"/>
        </w:numPr>
        <w:spacing w:before="0" w:line="240" w:lineRule="auto"/>
        <w:ind w:left="357" w:hanging="357"/>
        <w:rPr>
          <w:rFonts w:ascii="Arial" w:hAnsi="Arial" w:cs="Arial"/>
          <w:color w:val="1F497D" w:themeColor="text2"/>
        </w:rPr>
      </w:pPr>
      <w:bookmarkStart w:id="16" w:name="_Toc222471261"/>
      <w:r w:rsidRPr="3B954121">
        <w:rPr>
          <w:rFonts w:ascii="Arial" w:hAnsi="Arial" w:cs="Arial"/>
          <w:color w:val="1F487C"/>
        </w:rPr>
        <w:t xml:space="preserve">Three Year </w:t>
      </w:r>
      <w:r w:rsidR="00E312E7" w:rsidRPr="3B954121">
        <w:rPr>
          <w:rFonts w:ascii="Arial" w:hAnsi="Arial" w:cs="Arial"/>
          <w:color w:val="1F487C"/>
        </w:rPr>
        <w:t>Governors’ Budget</w:t>
      </w:r>
      <w:r w:rsidRPr="3B954121">
        <w:rPr>
          <w:rFonts w:ascii="Arial" w:hAnsi="Arial" w:cs="Arial"/>
          <w:color w:val="1F487C"/>
        </w:rPr>
        <w:t xml:space="preserve"> </w:t>
      </w:r>
      <w:r w:rsidR="00E312E7" w:rsidRPr="3B954121">
        <w:rPr>
          <w:rFonts w:ascii="Arial" w:hAnsi="Arial" w:cs="Arial"/>
          <w:color w:val="1F487C"/>
        </w:rPr>
        <w:t>Plan (maintained schools only)</w:t>
      </w:r>
      <w:bookmarkEnd w:id="16"/>
    </w:p>
    <w:p w14:paraId="1A800925" w14:textId="77777777" w:rsidR="008F0DE4" w:rsidRDefault="008F0DE4" w:rsidP="00620840">
      <w:pPr>
        <w:pStyle w:val="NoSpacing"/>
      </w:pPr>
    </w:p>
    <w:p w14:paraId="60D1235E" w14:textId="12DB8634" w:rsidR="001C3448" w:rsidRDefault="008F0DE4" w:rsidP="00620840">
      <w:pPr>
        <w:spacing w:line="240" w:lineRule="auto"/>
      </w:pPr>
      <w:r w:rsidRPr="21DFFC41">
        <w:rPr>
          <w:rFonts w:ascii="Arial" w:hAnsi="Arial" w:cs="Arial"/>
          <w:color w:val="000000" w:themeColor="text1"/>
          <w:sz w:val="24"/>
          <w:szCs w:val="24"/>
        </w:rPr>
        <w:t xml:space="preserve">As per the Scheme for Financing Schools, maintained schools are required to provide LAs with three-year budget forecasts approved by your governing body, or a committee authorised to approve the three-year budget no later than </w:t>
      </w:r>
      <w:r w:rsidR="001F1F1D">
        <w:rPr>
          <w:rFonts w:ascii="Arial" w:hAnsi="Arial" w:cs="Arial"/>
          <w:color w:val="000000" w:themeColor="text1"/>
          <w:sz w:val="24"/>
          <w:szCs w:val="24"/>
        </w:rPr>
        <w:t xml:space="preserve">Friday </w:t>
      </w:r>
      <w:r w:rsidR="00334B6E">
        <w:rPr>
          <w:rFonts w:ascii="Arial" w:hAnsi="Arial" w:cs="Arial"/>
          <w:color w:val="000000" w:themeColor="text1"/>
          <w:sz w:val="24"/>
          <w:szCs w:val="24"/>
        </w:rPr>
        <w:t>26</w:t>
      </w:r>
      <w:r w:rsidR="00E42A63">
        <w:rPr>
          <w:rFonts w:ascii="Arial" w:hAnsi="Arial" w:cs="Arial"/>
          <w:color w:val="000000" w:themeColor="text1"/>
          <w:sz w:val="24"/>
          <w:szCs w:val="24"/>
        </w:rPr>
        <w:t>th</w:t>
      </w:r>
      <w:r w:rsidRPr="00E42A63">
        <w:rPr>
          <w:rFonts w:ascii="Arial" w:hAnsi="Arial" w:cs="Arial"/>
          <w:color w:val="000000" w:themeColor="text1"/>
          <w:sz w:val="24"/>
          <w:szCs w:val="24"/>
        </w:rPr>
        <w:t xml:space="preserve"> June 202</w:t>
      </w:r>
      <w:r w:rsidR="00334B6E">
        <w:rPr>
          <w:rFonts w:ascii="Arial" w:hAnsi="Arial" w:cs="Arial"/>
          <w:color w:val="000000" w:themeColor="text1"/>
          <w:sz w:val="24"/>
          <w:szCs w:val="24"/>
        </w:rPr>
        <w:t>6</w:t>
      </w:r>
      <w:r w:rsidRPr="00E42A63">
        <w:rPr>
          <w:rFonts w:ascii="Arial" w:hAnsi="Arial" w:cs="Arial"/>
          <w:color w:val="000000" w:themeColor="text1"/>
          <w:sz w:val="24"/>
          <w:szCs w:val="24"/>
        </w:rPr>
        <w:t>.</w:t>
      </w:r>
    </w:p>
    <w:p w14:paraId="6BC917E4" w14:textId="4C1491D5" w:rsidR="001C3448" w:rsidRDefault="001C3448" w:rsidP="00620840">
      <w:pPr>
        <w:spacing w:line="240" w:lineRule="auto"/>
        <w:rPr>
          <w:rFonts w:ascii="Arial" w:hAnsi="Arial" w:cs="Arial"/>
          <w:color w:val="000000"/>
          <w:sz w:val="24"/>
          <w:szCs w:val="23"/>
        </w:rPr>
      </w:pPr>
      <w:r>
        <w:rPr>
          <w:rFonts w:ascii="Arial" w:hAnsi="Arial" w:cs="Arial"/>
          <w:color w:val="000000"/>
          <w:sz w:val="24"/>
          <w:szCs w:val="23"/>
        </w:rPr>
        <w:lastRenderedPageBreak/>
        <w:t xml:space="preserve">The </w:t>
      </w:r>
      <w:r w:rsidR="00D16F40">
        <w:rPr>
          <w:rFonts w:ascii="Arial" w:hAnsi="Arial" w:cs="Arial"/>
          <w:color w:val="000000"/>
          <w:sz w:val="24"/>
          <w:szCs w:val="23"/>
        </w:rPr>
        <w:t>Governor’s</w:t>
      </w:r>
      <w:r>
        <w:rPr>
          <w:rFonts w:ascii="Arial" w:hAnsi="Arial" w:cs="Arial"/>
          <w:color w:val="000000"/>
          <w:sz w:val="24"/>
          <w:szCs w:val="23"/>
        </w:rPr>
        <w:t xml:space="preserve"> Budget Plan timetable is as follows:</w:t>
      </w:r>
    </w:p>
    <w:tbl>
      <w:tblPr>
        <w:tblStyle w:val="TableGrid"/>
        <w:tblW w:w="0" w:type="auto"/>
        <w:tblInd w:w="-5" w:type="dxa"/>
        <w:tblLook w:val="04A0" w:firstRow="1" w:lastRow="0" w:firstColumn="1" w:lastColumn="0" w:noHBand="0" w:noVBand="1"/>
      </w:tblPr>
      <w:tblGrid>
        <w:gridCol w:w="3789"/>
        <w:gridCol w:w="6275"/>
      </w:tblGrid>
      <w:tr w:rsidR="001C3448" w14:paraId="234AE4E4" w14:textId="77777777" w:rsidTr="21DFFC41">
        <w:tc>
          <w:tcPr>
            <w:tcW w:w="3789" w:type="dxa"/>
          </w:tcPr>
          <w:p w14:paraId="1CA66D75" w14:textId="77777777" w:rsidR="001C3448" w:rsidRPr="00E603CE" w:rsidRDefault="00E603CE" w:rsidP="00620840">
            <w:pPr>
              <w:rPr>
                <w:rFonts w:ascii="Arial" w:hAnsi="Arial" w:cs="Arial"/>
                <w:b/>
                <w:color w:val="000000"/>
                <w:sz w:val="24"/>
                <w:szCs w:val="23"/>
              </w:rPr>
            </w:pPr>
            <w:bookmarkStart w:id="17" w:name="_Hlk128130111"/>
            <w:r w:rsidRPr="00E603CE">
              <w:rPr>
                <w:rFonts w:ascii="Arial" w:hAnsi="Arial" w:cs="Arial"/>
                <w:b/>
                <w:color w:val="000000"/>
                <w:sz w:val="24"/>
                <w:szCs w:val="23"/>
              </w:rPr>
              <w:t>Date</w:t>
            </w:r>
          </w:p>
        </w:tc>
        <w:tc>
          <w:tcPr>
            <w:tcW w:w="6275" w:type="dxa"/>
          </w:tcPr>
          <w:p w14:paraId="37C1DD13" w14:textId="77777777" w:rsidR="001C3448" w:rsidRPr="00E603CE" w:rsidRDefault="00E603CE" w:rsidP="00620840">
            <w:pPr>
              <w:rPr>
                <w:rFonts w:ascii="Arial" w:hAnsi="Arial" w:cs="Arial"/>
                <w:b/>
                <w:color w:val="000000"/>
                <w:sz w:val="24"/>
                <w:szCs w:val="23"/>
              </w:rPr>
            </w:pPr>
            <w:r w:rsidRPr="00E603CE">
              <w:rPr>
                <w:rFonts w:ascii="Arial" w:hAnsi="Arial" w:cs="Arial"/>
                <w:b/>
                <w:color w:val="000000"/>
                <w:sz w:val="24"/>
                <w:szCs w:val="23"/>
              </w:rPr>
              <w:t>Action</w:t>
            </w:r>
          </w:p>
        </w:tc>
      </w:tr>
      <w:tr w:rsidR="001C3448" w:rsidRPr="001F5266" w14:paraId="12FF0878" w14:textId="77777777" w:rsidTr="21DFFC41">
        <w:tc>
          <w:tcPr>
            <w:tcW w:w="3789" w:type="dxa"/>
          </w:tcPr>
          <w:p w14:paraId="0B3BC125" w14:textId="5FA77767" w:rsidR="001C3448" w:rsidRPr="00E42A63" w:rsidRDefault="00DC5AFF" w:rsidP="00620840">
            <w:pPr>
              <w:rPr>
                <w:rFonts w:ascii="Arial" w:hAnsi="Arial" w:cs="Arial"/>
                <w:color w:val="000000"/>
                <w:sz w:val="24"/>
                <w:szCs w:val="24"/>
              </w:rPr>
            </w:pPr>
            <w:r>
              <w:rPr>
                <w:rFonts w:ascii="Arial" w:hAnsi="Arial" w:cs="Arial"/>
                <w:color w:val="000000" w:themeColor="text1"/>
                <w:sz w:val="24"/>
                <w:szCs w:val="24"/>
              </w:rPr>
              <w:t xml:space="preserve">Friday </w:t>
            </w:r>
            <w:r w:rsidR="00BD4407">
              <w:rPr>
                <w:rFonts w:ascii="Arial" w:hAnsi="Arial" w:cs="Arial"/>
                <w:color w:val="000000" w:themeColor="text1"/>
                <w:sz w:val="24"/>
                <w:szCs w:val="24"/>
              </w:rPr>
              <w:t>17</w:t>
            </w:r>
            <w:r w:rsidR="007F2498" w:rsidRPr="007F2498">
              <w:rPr>
                <w:rFonts w:ascii="Arial" w:hAnsi="Arial" w:cs="Arial"/>
                <w:color w:val="000000" w:themeColor="text1"/>
                <w:sz w:val="24"/>
                <w:szCs w:val="24"/>
                <w:vertAlign w:val="superscript"/>
              </w:rPr>
              <w:t>th</w:t>
            </w:r>
            <w:r w:rsidR="007F2498">
              <w:rPr>
                <w:rFonts w:ascii="Arial" w:hAnsi="Arial" w:cs="Arial"/>
                <w:color w:val="000000" w:themeColor="text1"/>
                <w:sz w:val="24"/>
                <w:szCs w:val="24"/>
              </w:rPr>
              <w:t xml:space="preserve"> April 202</w:t>
            </w:r>
            <w:r w:rsidR="00BD4407">
              <w:rPr>
                <w:rFonts w:ascii="Arial" w:hAnsi="Arial" w:cs="Arial"/>
                <w:color w:val="000000" w:themeColor="text1"/>
                <w:sz w:val="24"/>
                <w:szCs w:val="24"/>
              </w:rPr>
              <w:t>6</w:t>
            </w:r>
          </w:p>
        </w:tc>
        <w:tc>
          <w:tcPr>
            <w:tcW w:w="6275" w:type="dxa"/>
          </w:tcPr>
          <w:p w14:paraId="0E6D5268" w14:textId="5CFD8690" w:rsidR="001C3448" w:rsidRPr="00E42A63" w:rsidRDefault="00E603CE" w:rsidP="00620840">
            <w:pPr>
              <w:rPr>
                <w:rFonts w:ascii="Arial" w:hAnsi="Arial" w:cs="Arial"/>
                <w:color w:val="000000"/>
                <w:sz w:val="24"/>
                <w:szCs w:val="24"/>
              </w:rPr>
            </w:pPr>
            <w:r w:rsidRPr="00E42A63">
              <w:rPr>
                <w:rFonts w:ascii="Arial" w:hAnsi="Arial" w:cs="Arial"/>
                <w:color w:val="000000" w:themeColor="text1"/>
                <w:sz w:val="24"/>
                <w:szCs w:val="24"/>
              </w:rPr>
              <w:t>202</w:t>
            </w:r>
            <w:r w:rsidR="00BD4407">
              <w:rPr>
                <w:rFonts w:ascii="Arial" w:hAnsi="Arial" w:cs="Arial"/>
                <w:color w:val="000000" w:themeColor="text1"/>
                <w:sz w:val="24"/>
                <w:szCs w:val="24"/>
              </w:rPr>
              <w:t>6</w:t>
            </w:r>
            <w:r w:rsidRPr="00E42A63">
              <w:rPr>
                <w:rFonts w:ascii="Arial" w:hAnsi="Arial" w:cs="Arial"/>
                <w:color w:val="000000" w:themeColor="text1"/>
                <w:sz w:val="24"/>
                <w:szCs w:val="24"/>
              </w:rPr>
              <w:t>/2</w:t>
            </w:r>
            <w:r w:rsidR="00BD4407">
              <w:rPr>
                <w:rFonts w:ascii="Arial" w:hAnsi="Arial" w:cs="Arial"/>
                <w:color w:val="000000" w:themeColor="text1"/>
                <w:sz w:val="24"/>
                <w:szCs w:val="24"/>
              </w:rPr>
              <w:t>7</w:t>
            </w:r>
            <w:r w:rsidRPr="00E42A63">
              <w:rPr>
                <w:rFonts w:ascii="Arial" w:hAnsi="Arial" w:cs="Arial"/>
                <w:color w:val="000000" w:themeColor="text1"/>
                <w:sz w:val="24"/>
                <w:szCs w:val="24"/>
              </w:rPr>
              <w:t xml:space="preserve"> GBP template made available</w:t>
            </w:r>
          </w:p>
        </w:tc>
      </w:tr>
      <w:tr w:rsidR="001C3448" w:rsidRPr="001F5266" w14:paraId="18AD0EB2" w14:textId="77777777" w:rsidTr="21DFFC41">
        <w:tc>
          <w:tcPr>
            <w:tcW w:w="3789" w:type="dxa"/>
          </w:tcPr>
          <w:p w14:paraId="5CF4AF45" w14:textId="3E37A19C" w:rsidR="001C3448" w:rsidRPr="00E42A63" w:rsidRDefault="00E603CE" w:rsidP="00620840">
            <w:pPr>
              <w:rPr>
                <w:rFonts w:ascii="Arial" w:hAnsi="Arial" w:cs="Arial"/>
                <w:color w:val="000000"/>
                <w:sz w:val="24"/>
                <w:szCs w:val="24"/>
              </w:rPr>
            </w:pPr>
            <w:r w:rsidRPr="00E42A63">
              <w:rPr>
                <w:rFonts w:ascii="Arial" w:hAnsi="Arial" w:cs="Arial"/>
                <w:color w:val="000000" w:themeColor="text1"/>
                <w:sz w:val="24"/>
                <w:szCs w:val="24"/>
              </w:rPr>
              <w:t xml:space="preserve">Friday </w:t>
            </w:r>
            <w:r w:rsidR="009036CC">
              <w:rPr>
                <w:rFonts w:ascii="Arial" w:hAnsi="Arial" w:cs="Arial"/>
                <w:color w:val="000000" w:themeColor="text1"/>
                <w:sz w:val="24"/>
                <w:szCs w:val="24"/>
              </w:rPr>
              <w:t>22</w:t>
            </w:r>
            <w:r w:rsidR="009036CC" w:rsidRPr="009036CC">
              <w:rPr>
                <w:rFonts w:ascii="Arial" w:hAnsi="Arial" w:cs="Arial"/>
                <w:color w:val="000000" w:themeColor="text1"/>
                <w:sz w:val="24"/>
                <w:szCs w:val="24"/>
                <w:vertAlign w:val="superscript"/>
              </w:rPr>
              <w:t>nd</w:t>
            </w:r>
            <w:r w:rsidR="009036CC">
              <w:rPr>
                <w:rFonts w:ascii="Arial" w:hAnsi="Arial" w:cs="Arial"/>
                <w:color w:val="000000" w:themeColor="text1"/>
                <w:sz w:val="24"/>
                <w:szCs w:val="24"/>
              </w:rPr>
              <w:t xml:space="preserve"> May 2026</w:t>
            </w:r>
          </w:p>
        </w:tc>
        <w:tc>
          <w:tcPr>
            <w:tcW w:w="6275" w:type="dxa"/>
          </w:tcPr>
          <w:p w14:paraId="31F4D571" w14:textId="6C0C674D" w:rsidR="001C3448" w:rsidRPr="00E42A63" w:rsidRDefault="00E603CE" w:rsidP="00620840">
            <w:pPr>
              <w:rPr>
                <w:rFonts w:ascii="Arial" w:hAnsi="Arial" w:cs="Arial"/>
                <w:color w:val="000000"/>
                <w:sz w:val="24"/>
                <w:szCs w:val="24"/>
              </w:rPr>
            </w:pPr>
            <w:r w:rsidRPr="00E42A63">
              <w:rPr>
                <w:rFonts w:ascii="Arial" w:hAnsi="Arial" w:cs="Arial"/>
                <w:color w:val="000000" w:themeColor="text1"/>
                <w:sz w:val="24"/>
                <w:szCs w:val="24"/>
              </w:rPr>
              <w:t>La</w:t>
            </w:r>
            <w:r w:rsidR="005B6C3A" w:rsidRPr="00E42A63">
              <w:rPr>
                <w:rFonts w:ascii="Arial" w:hAnsi="Arial" w:cs="Arial"/>
                <w:color w:val="000000" w:themeColor="text1"/>
                <w:sz w:val="24"/>
                <w:szCs w:val="24"/>
              </w:rPr>
              <w:t>s</w:t>
            </w:r>
            <w:r w:rsidRPr="00E42A63">
              <w:rPr>
                <w:rFonts w:ascii="Arial" w:hAnsi="Arial" w:cs="Arial"/>
                <w:color w:val="000000" w:themeColor="text1"/>
                <w:sz w:val="24"/>
                <w:szCs w:val="24"/>
              </w:rPr>
              <w:t>t date for submission of GBP template</w:t>
            </w:r>
          </w:p>
        </w:tc>
      </w:tr>
      <w:tr w:rsidR="001C3448" w14:paraId="23FF7373" w14:textId="77777777" w:rsidTr="21DFFC41">
        <w:tc>
          <w:tcPr>
            <w:tcW w:w="3789" w:type="dxa"/>
          </w:tcPr>
          <w:p w14:paraId="42197072" w14:textId="26AB637C" w:rsidR="001C3448" w:rsidRPr="00E42A63" w:rsidRDefault="004971A3" w:rsidP="00620840">
            <w:pPr>
              <w:rPr>
                <w:rFonts w:ascii="Arial" w:hAnsi="Arial" w:cs="Arial"/>
                <w:color w:val="000000"/>
                <w:sz w:val="24"/>
                <w:szCs w:val="24"/>
              </w:rPr>
            </w:pPr>
            <w:r>
              <w:rPr>
                <w:rFonts w:ascii="Arial" w:hAnsi="Arial" w:cs="Arial"/>
                <w:color w:val="000000" w:themeColor="text1"/>
                <w:sz w:val="24"/>
                <w:szCs w:val="24"/>
              </w:rPr>
              <w:t xml:space="preserve">Friday </w:t>
            </w:r>
            <w:r w:rsidR="00125318" w:rsidRPr="00E42A63">
              <w:rPr>
                <w:rFonts w:ascii="Arial" w:hAnsi="Arial" w:cs="Arial"/>
                <w:color w:val="000000" w:themeColor="text1"/>
                <w:sz w:val="24"/>
                <w:szCs w:val="24"/>
              </w:rPr>
              <w:t>2</w:t>
            </w:r>
            <w:r w:rsidR="00F50C03">
              <w:rPr>
                <w:rFonts w:ascii="Arial" w:hAnsi="Arial" w:cs="Arial"/>
                <w:color w:val="000000" w:themeColor="text1"/>
                <w:sz w:val="24"/>
                <w:szCs w:val="24"/>
              </w:rPr>
              <w:t>6</w:t>
            </w:r>
            <w:r w:rsidR="00E603CE" w:rsidRPr="00E42A63">
              <w:rPr>
                <w:rFonts w:ascii="Arial" w:hAnsi="Arial" w:cs="Arial"/>
                <w:color w:val="000000" w:themeColor="text1"/>
                <w:sz w:val="24"/>
                <w:szCs w:val="24"/>
                <w:vertAlign w:val="superscript"/>
              </w:rPr>
              <w:t>th</w:t>
            </w:r>
            <w:r w:rsidR="00E603CE" w:rsidRPr="00E42A63">
              <w:rPr>
                <w:rFonts w:ascii="Arial" w:hAnsi="Arial" w:cs="Arial"/>
                <w:color w:val="000000" w:themeColor="text1"/>
                <w:sz w:val="24"/>
                <w:szCs w:val="24"/>
              </w:rPr>
              <w:t xml:space="preserve"> June 202</w:t>
            </w:r>
            <w:r w:rsidR="00F50C03">
              <w:rPr>
                <w:rFonts w:ascii="Arial" w:hAnsi="Arial" w:cs="Arial"/>
                <w:color w:val="000000" w:themeColor="text1"/>
                <w:sz w:val="24"/>
                <w:szCs w:val="24"/>
              </w:rPr>
              <w:t>6</w:t>
            </w:r>
          </w:p>
        </w:tc>
        <w:tc>
          <w:tcPr>
            <w:tcW w:w="6275" w:type="dxa"/>
          </w:tcPr>
          <w:p w14:paraId="64FB9E94" w14:textId="21AC267D" w:rsidR="001C3448" w:rsidRPr="00E42A63" w:rsidRDefault="00E603CE" w:rsidP="00620840">
            <w:pPr>
              <w:rPr>
                <w:rFonts w:ascii="Arial" w:hAnsi="Arial" w:cs="Arial"/>
                <w:color w:val="000000"/>
                <w:sz w:val="24"/>
                <w:szCs w:val="24"/>
              </w:rPr>
            </w:pPr>
            <w:r w:rsidRPr="00E42A63">
              <w:rPr>
                <w:rFonts w:ascii="Arial" w:hAnsi="Arial" w:cs="Arial"/>
                <w:color w:val="000000" w:themeColor="text1"/>
                <w:sz w:val="24"/>
                <w:szCs w:val="24"/>
              </w:rPr>
              <w:t>Recovery plans submission date (for deficit schools only</w:t>
            </w:r>
            <w:r w:rsidR="002B6E38" w:rsidRPr="00E42A63">
              <w:rPr>
                <w:rFonts w:ascii="Arial" w:hAnsi="Arial" w:cs="Arial"/>
                <w:color w:val="000000" w:themeColor="text1"/>
                <w:sz w:val="24"/>
                <w:szCs w:val="24"/>
              </w:rPr>
              <w:t>)</w:t>
            </w:r>
          </w:p>
        </w:tc>
      </w:tr>
    </w:tbl>
    <w:bookmarkEnd w:id="17"/>
    <w:p w14:paraId="17FE0845" w14:textId="31D75897" w:rsidR="008600AE" w:rsidRPr="007937A1" w:rsidRDefault="008600AE" w:rsidP="78065883">
      <w:pPr>
        <w:pStyle w:val="NormalWeb"/>
        <w:spacing w:after="0" w:afterAutospacing="0"/>
        <w:rPr>
          <w:rFonts w:ascii="Arial" w:eastAsiaTheme="minorEastAsia" w:hAnsi="Arial" w:cs="Arial"/>
          <w:color w:val="000000"/>
        </w:rPr>
      </w:pPr>
      <w:r w:rsidRPr="78065883">
        <w:rPr>
          <w:rFonts w:ascii="Arial" w:eastAsiaTheme="minorEastAsia" w:hAnsi="Arial" w:cs="Arial"/>
          <w:color w:val="000000" w:themeColor="text1"/>
        </w:rPr>
        <w:t>Schools that submit a Governors’ Budget Plan showing a deficit will also be required to submit a recovery plan as part of the LA’s balance control mechanism. Where necessary</w:t>
      </w:r>
      <w:r w:rsidR="0760FC06" w:rsidRPr="78065883">
        <w:rPr>
          <w:rFonts w:ascii="Arial" w:eastAsiaTheme="minorEastAsia" w:hAnsi="Arial" w:cs="Arial"/>
          <w:color w:val="000000" w:themeColor="text1"/>
        </w:rPr>
        <w:t>,</w:t>
      </w:r>
      <w:r w:rsidRPr="78065883">
        <w:rPr>
          <w:rFonts w:ascii="Arial" w:eastAsiaTheme="minorEastAsia" w:hAnsi="Arial" w:cs="Arial"/>
          <w:color w:val="000000" w:themeColor="text1"/>
        </w:rPr>
        <w:t xml:space="preserve"> further revised plans may also be requested throughout the year where a school is in deficit or at risk of going into deficit.</w:t>
      </w:r>
    </w:p>
    <w:p w14:paraId="3403FC97" w14:textId="77777777" w:rsidR="008600AE" w:rsidRDefault="008600AE" w:rsidP="007A538E">
      <w:pPr>
        <w:pStyle w:val="NoSpacing"/>
      </w:pPr>
    </w:p>
    <w:p w14:paraId="2CE2D17F" w14:textId="77777777" w:rsidR="007A538E" w:rsidRDefault="007A538E" w:rsidP="007A538E">
      <w:pPr>
        <w:pStyle w:val="NoSpacing"/>
      </w:pPr>
    </w:p>
    <w:p w14:paraId="625A7F22" w14:textId="77777777" w:rsidR="001B7BCC" w:rsidRPr="00D273A2" w:rsidRDefault="001B7BCC" w:rsidP="007A538E">
      <w:pPr>
        <w:pStyle w:val="Heading1"/>
        <w:numPr>
          <w:ilvl w:val="0"/>
          <w:numId w:val="15"/>
        </w:numPr>
        <w:spacing w:before="0" w:line="240" w:lineRule="auto"/>
        <w:ind w:left="357" w:hanging="357"/>
        <w:rPr>
          <w:rFonts w:ascii="Arial" w:hAnsi="Arial" w:cs="Arial"/>
          <w:color w:val="1F497D" w:themeColor="text2"/>
        </w:rPr>
      </w:pPr>
      <w:bookmarkStart w:id="18" w:name="_Toc222471262"/>
      <w:r w:rsidRPr="3B954121">
        <w:rPr>
          <w:rFonts w:ascii="Arial" w:hAnsi="Arial" w:cs="Arial"/>
          <w:color w:val="1F487C"/>
        </w:rPr>
        <w:t>Useful Links</w:t>
      </w:r>
      <w:bookmarkEnd w:id="18"/>
    </w:p>
    <w:p w14:paraId="44CC2E71" w14:textId="77777777" w:rsidR="001B7BCC" w:rsidRPr="001B7BCC" w:rsidRDefault="001B7BCC" w:rsidP="00620840">
      <w:pPr>
        <w:pStyle w:val="NoSpacing"/>
      </w:pPr>
    </w:p>
    <w:p w14:paraId="681E7EE3" w14:textId="77777777" w:rsidR="00A624A4" w:rsidRDefault="001B7BCC" w:rsidP="00620840">
      <w:pPr>
        <w:spacing w:after="0" w:line="240" w:lineRule="auto"/>
        <w:rPr>
          <w:rFonts w:ascii="Arial" w:hAnsi="Arial" w:cs="Arial"/>
          <w:b/>
          <w:sz w:val="24"/>
          <w:szCs w:val="28"/>
        </w:rPr>
      </w:pPr>
      <w:r w:rsidRPr="00A624A4">
        <w:rPr>
          <w:rFonts w:ascii="Arial" w:hAnsi="Arial" w:cs="Arial"/>
          <w:b/>
          <w:sz w:val="24"/>
          <w:szCs w:val="28"/>
        </w:rPr>
        <w:t xml:space="preserve">School and Academy </w:t>
      </w:r>
      <w:r w:rsidR="00B65BF7">
        <w:rPr>
          <w:rFonts w:ascii="Arial" w:hAnsi="Arial" w:cs="Arial"/>
          <w:b/>
          <w:sz w:val="24"/>
          <w:szCs w:val="28"/>
        </w:rPr>
        <w:t xml:space="preserve">Financial </w:t>
      </w:r>
      <w:r w:rsidRPr="00A624A4">
        <w:rPr>
          <w:rFonts w:ascii="Arial" w:hAnsi="Arial" w:cs="Arial"/>
          <w:b/>
          <w:sz w:val="24"/>
          <w:szCs w:val="28"/>
        </w:rPr>
        <w:t>Management and Assurance:</w:t>
      </w:r>
    </w:p>
    <w:p w14:paraId="74F6C27F" w14:textId="77777777" w:rsidR="0009551B" w:rsidRDefault="0009551B" w:rsidP="00620840">
      <w:pPr>
        <w:spacing w:after="0" w:line="240" w:lineRule="auto"/>
        <w:ind w:left="357"/>
        <w:rPr>
          <w:rFonts w:ascii="Arial" w:hAnsi="Arial" w:cs="Arial"/>
          <w:b/>
          <w:sz w:val="24"/>
          <w:szCs w:val="28"/>
        </w:rPr>
      </w:pPr>
    </w:p>
    <w:p w14:paraId="399081E4" w14:textId="77777777" w:rsidR="001B7BCC" w:rsidRPr="001B7BCC" w:rsidRDefault="001B7BCC" w:rsidP="00620840">
      <w:pPr>
        <w:spacing w:after="0" w:line="240" w:lineRule="auto"/>
        <w:rPr>
          <w:rFonts w:ascii="Arial" w:hAnsi="Arial" w:cs="Arial"/>
          <w:sz w:val="24"/>
          <w:szCs w:val="28"/>
        </w:rPr>
      </w:pPr>
      <w:r w:rsidRPr="001B7BCC">
        <w:rPr>
          <w:rFonts w:ascii="Arial" w:hAnsi="Arial" w:cs="Arial"/>
          <w:sz w:val="24"/>
          <w:szCs w:val="28"/>
        </w:rPr>
        <w:t>Report</w:t>
      </w:r>
      <w:r w:rsidR="00A261CF">
        <w:rPr>
          <w:rFonts w:ascii="Arial" w:hAnsi="Arial" w:cs="Arial"/>
          <w:sz w:val="24"/>
          <w:szCs w:val="28"/>
        </w:rPr>
        <w:t xml:space="preserve">ing </w:t>
      </w:r>
      <w:r w:rsidRPr="001B7BCC">
        <w:rPr>
          <w:rFonts w:ascii="Arial" w:hAnsi="Arial" w:cs="Arial"/>
          <w:sz w:val="24"/>
          <w:szCs w:val="28"/>
        </w:rPr>
        <w:t>for academies</w:t>
      </w:r>
      <w:r w:rsidR="00826B8F">
        <w:rPr>
          <w:rFonts w:ascii="Arial" w:hAnsi="Arial" w:cs="Arial"/>
          <w:sz w:val="24"/>
          <w:szCs w:val="28"/>
        </w:rPr>
        <w:t xml:space="preserve">, maintained schools, </w:t>
      </w:r>
      <w:r w:rsidR="0078270D">
        <w:rPr>
          <w:rFonts w:ascii="Arial" w:hAnsi="Arial" w:cs="Arial"/>
          <w:sz w:val="24"/>
          <w:szCs w:val="28"/>
        </w:rPr>
        <w:t xml:space="preserve">local authorities including </w:t>
      </w:r>
      <w:r w:rsidRPr="001B7BCC">
        <w:rPr>
          <w:rFonts w:ascii="Arial" w:hAnsi="Arial" w:cs="Arial"/>
          <w:sz w:val="24"/>
          <w:szCs w:val="28"/>
        </w:rPr>
        <w:t>school procurement, risk protection arrangement (RPA), payments and compliance</w:t>
      </w:r>
      <w:r w:rsidR="000C1436">
        <w:rPr>
          <w:rFonts w:ascii="Arial" w:hAnsi="Arial" w:cs="Arial"/>
          <w:sz w:val="24"/>
          <w:szCs w:val="28"/>
        </w:rPr>
        <w:t>.</w:t>
      </w:r>
    </w:p>
    <w:p w14:paraId="77D3D620" w14:textId="3E646BF7" w:rsidR="001B7BCC" w:rsidRDefault="00E22374" w:rsidP="00620840">
      <w:pPr>
        <w:spacing w:after="0" w:line="240" w:lineRule="auto"/>
        <w:rPr>
          <w:rStyle w:val="Hyperlink"/>
          <w:rFonts w:ascii="Arial" w:hAnsi="Arial" w:cs="Arial"/>
          <w:sz w:val="24"/>
        </w:rPr>
      </w:pPr>
      <w:hyperlink r:id="rId28" w:history="1">
        <w:r w:rsidRPr="00ED3C18">
          <w:rPr>
            <w:rStyle w:val="Hyperlink"/>
            <w:rFonts w:ascii="Arial" w:hAnsi="Arial" w:cs="Arial"/>
            <w:sz w:val="24"/>
          </w:rPr>
          <w:t>https://www.gov.uk/education/school-and-academy-financial-management-and-assurance</w:t>
        </w:r>
      </w:hyperlink>
    </w:p>
    <w:p w14:paraId="14CA82B6" w14:textId="77777777" w:rsidR="002D1E7B" w:rsidRDefault="002D1E7B" w:rsidP="00620840">
      <w:pPr>
        <w:spacing w:after="0" w:line="240" w:lineRule="auto"/>
        <w:ind w:left="357"/>
        <w:rPr>
          <w:rStyle w:val="Hyperlink"/>
          <w:rFonts w:ascii="Arial" w:hAnsi="Arial" w:cs="Arial"/>
          <w:sz w:val="24"/>
        </w:rPr>
      </w:pPr>
    </w:p>
    <w:p w14:paraId="380547F9" w14:textId="77777777" w:rsidR="002D1E7B" w:rsidRPr="00A261CF" w:rsidRDefault="002D1E7B" w:rsidP="00620840">
      <w:pPr>
        <w:spacing w:after="0" w:line="240" w:lineRule="auto"/>
        <w:rPr>
          <w:rFonts w:ascii="Arial" w:hAnsi="Arial" w:cs="Arial"/>
          <w:b/>
          <w:sz w:val="24"/>
          <w:szCs w:val="28"/>
        </w:rPr>
      </w:pPr>
      <w:r w:rsidRPr="00A261CF">
        <w:rPr>
          <w:rFonts w:ascii="Arial" w:hAnsi="Arial" w:cs="Arial"/>
          <w:b/>
          <w:sz w:val="24"/>
          <w:szCs w:val="28"/>
        </w:rPr>
        <w:t>Benchmarking</w:t>
      </w:r>
    </w:p>
    <w:p w14:paraId="3DA6FCB7" w14:textId="77777777" w:rsidR="00A261CF" w:rsidRDefault="00A261CF" w:rsidP="00620840">
      <w:pPr>
        <w:spacing w:after="0" w:line="240" w:lineRule="auto"/>
        <w:ind w:left="357"/>
        <w:rPr>
          <w:rFonts w:ascii="Arial" w:hAnsi="Arial" w:cs="Arial"/>
          <w:sz w:val="24"/>
          <w:szCs w:val="28"/>
        </w:rPr>
      </w:pPr>
    </w:p>
    <w:p w14:paraId="4A39C97A" w14:textId="77777777" w:rsidR="00A261CF" w:rsidRDefault="00A261CF" w:rsidP="00620840">
      <w:pPr>
        <w:spacing w:after="0" w:line="240" w:lineRule="auto"/>
        <w:rPr>
          <w:rFonts w:ascii="Arial" w:hAnsi="Arial" w:cs="Arial"/>
          <w:sz w:val="24"/>
          <w:szCs w:val="28"/>
        </w:rPr>
      </w:pPr>
      <w:r w:rsidRPr="00A261CF">
        <w:rPr>
          <w:rFonts w:ascii="Arial" w:hAnsi="Arial" w:cs="Arial"/>
          <w:sz w:val="24"/>
          <w:szCs w:val="28"/>
        </w:rPr>
        <w:t>Benchmarking allows you to check how your finances compare with other similar schools or multi-academy trusts.</w:t>
      </w:r>
    </w:p>
    <w:p w14:paraId="6D695A33" w14:textId="0DC9176C" w:rsidR="002E2DCF" w:rsidRDefault="002E2DCF" w:rsidP="00620840">
      <w:pPr>
        <w:spacing w:after="0" w:line="240" w:lineRule="auto"/>
        <w:rPr>
          <w:rFonts w:ascii="Arial" w:hAnsi="Arial" w:cs="Arial"/>
          <w:sz w:val="24"/>
          <w:szCs w:val="28"/>
        </w:rPr>
      </w:pPr>
      <w:hyperlink r:id="rId29" w:history="1">
        <w:r w:rsidRPr="002E2DCF">
          <w:rPr>
            <w:rStyle w:val="Hyperlink"/>
            <w:rFonts w:ascii="Arial" w:hAnsi="Arial" w:cs="Arial"/>
            <w:sz w:val="24"/>
            <w:szCs w:val="28"/>
          </w:rPr>
          <w:t>https://financial-benchmarking-and-insights-tool.education.gov.uk/</w:t>
        </w:r>
      </w:hyperlink>
    </w:p>
    <w:p w14:paraId="7E3A6A28" w14:textId="77777777" w:rsidR="005D7C8A" w:rsidRDefault="005D7C8A" w:rsidP="00620840">
      <w:pPr>
        <w:spacing w:after="0" w:line="240" w:lineRule="auto"/>
        <w:ind w:left="357"/>
        <w:rPr>
          <w:rStyle w:val="Hyperlink"/>
          <w:rFonts w:ascii="Arial" w:hAnsi="Arial" w:cs="Arial"/>
          <w:sz w:val="24"/>
          <w:szCs w:val="28"/>
        </w:rPr>
      </w:pPr>
    </w:p>
    <w:p w14:paraId="22076F47" w14:textId="77777777" w:rsidR="005D7C8A" w:rsidRDefault="005D7C8A" w:rsidP="00620840">
      <w:pPr>
        <w:spacing w:after="0" w:line="240" w:lineRule="auto"/>
        <w:rPr>
          <w:rFonts w:ascii="Arial" w:hAnsi="Arial" w:cs="Arial"/>
          <w:b/>
          <w:sz w:val="24"/>
        </w:rPr>
      </w:pPr>
      <w:r w:rsidRPr="005D7C8A">
        <w:rPr>
          <w:rFonts w:ascii="Arial" w:hAnsi="Arial" w:cs="Arial"/>
          <w:b/>
          <w:sz w:val="24"/>
        </w:rPr>
        <w:t>Buying for Schools</w:t>
      </w:r>
    </w:p>
    <w:p w14:paraId="1244BC41" w14:textId="77777777" w:rsidR="005D7C8A" w:rsidRDefault="005D7C8A" w:rsidP="00620840">
      <w:pPr>
        <w:spacing w:after="0" w:line="240" w:lineRule="auto"/>
        <w:ind w:left="357"/>
        <w:rPr>
          <w:rFonts w:ascii="Arial" w:hAnsi="Arial" w:cs="Arial"/>
          <w:b/>
          <w:sz w:val="24"/>
        </w:rPr>
      </w:pPr>
    </w:p>
    <w:p w14:paraId="71F6CBB3" w14:textId="77777777" w:rsidR="005D7C8A" w:rsidRDefault="002B38DC" w:rsidP="00620840">
      <w:pPr>
        <w:spacing w:after="0" w:line="240" w:lineRule="auto"/>
        <w:rPr>
          <w:rFonts w:ascii="Arial" w:hAnsi="Arial" w:cs="Arial"/>
          <w:sz w:val="24"/>
          <w:szCs w:val="28"/>
        </w:rPr>
      </w:pPr>
      <w:r>
        <w:rPr>
          <w:rFonts w:ascii="Arial" w:hAnsi="Arial" w:cs="Arial"/>
          <w:sz w:val="24"/>
          <w:szCs w:val="28"/>
        </w:rPr>
        <w:t xml:space="preserve">Department for Education advice </w:t>
      </w:r>
      <w:r w:rsidR="005D7C8A" w:rsidRPr="005D7C8A">
        <w:rPr>
          <w:rFonts w:ascii="Arial" w:hAnsi="Arial" w:cs="Arial"/>
          <w:sz w:val="24"/>
          <w:szCs w:val="28"/>
        </w:rPr>
        <w:t>on buying goods and services</w:t>
      </w:r>
      <w:r>
        <w:rPr>
          <w:rFonts w:ascii="Arial" w:hAnsi="Arial" w:cs="Arial"/>
          <w:sz w:val="24"/>
          <w:szCs w:val="28"/>
        </w:rPr>
        <w:t xml:space="preserve"> </w:t>
      </w:r>
      <w:r w:rsidR="005D7C8A" w:rsidRPr="005D7C8A">
        <w:rPr>
          <w:rFonts w:ascii="Arial" w:hAnsi="Arial" w:cs="Arial"/>
          <w:sz w:val="24"/>
          <w:szCs w:val="28"/>
        </w:rPr>
        <w:t>for your school</w:t>
      </w:r>
      <w:r w:rsidR="005D7C8A">
        <w:rPr>
          <w:rFonts w:ascii="Arial" w:hAnsi="Arial" w:cs="Arial"/>
          <w:sz w:val="24"/>
          <w:szCs w:val="28"/>
        </w:rPr>
        <w:t>.</w:t>
      </w:r>
    </w:p>
    <w:p w14:paraId="23F173D0" w14:textId="22A13462" w:rsidR="005D7C8A" w:rsidRDefault="00E22374" w:rsidP="00620840">
      <w:pPr>
        <w:spacing w:after="0" w:line="240" w:lineRule="auto"/>
        <w:rPr>
          <w:rStyle w:val="Hyperlink"/>
          <w:rFonts w:ascii="Arial" w:hAnsi="Arial" w:cs="Arial"/>
          <w:sz w:val="24"/>
          <w:szCs w:val="28"/>
        </w:rPr>
      </w:pPr>
      <w:hyperlink r:id="rId30" w:history="1">
        <w:r w:rsidRPr="00ED3C18">
          <w:rPr>
            <w:rStyle w:val="Hyperlink"/>
            <w:rFonts w:ascii="Arial" w:hAnsi="Arial" w:cs="Arial"/>
            <w:sz w:val="24"/>
            <w:szCs w:val="28"/>
          </w:rPr>
          <w:t>https://www.gov.uk/guidance/buying-for-schools</w:t>
        </w:r>
      </w:hyperlink>
    </w:p>
    <w:p w14:paraId="48525B7E" w14:textId="77777777" w:rsidR="00912902" w:rsidRDefault="00912902" w:rsidP="00620840">
      <w:pPr>
        <w:spacing w:after="0" w:line="240" w:lineRule="auto"/>
        <w:rPr>
          <w:rStyle w:val="Hyperlink"/>
          <w:rFonts w:ascii="Arial" w:hAnsi="Arial" w:cs="Arial"/>
          <w:sz w:val="24"/>
          <w:szCs w:val="28"/>
        </w:rPr>
      </w:pPr>
    </w:p>
    <w:p w14:paraId="40935CF4" w14:textId="6D832E5F" w:rsidR="001C3448" w:rsidRDefault="001C3448" w:rsidP="78065883">
      <w:pPr>
        <w:spacing w:after="0" w:line="240" w:lineRule="auto"/>
        <w:rPr>
          <w:rFonts w:ascii="Arial" w:hAnsi="Arial" w:cs="Arial"/>
          <w:b/>
          <w:bCs/>
          <w:sz w:val="24"/>
          <w:szCs w:val="24"/>
        </w:rPr>
      </w:pPr>
      <w:r w:rsidRPr="78065883">
        <w:rPr>
          <w:rFonts w:ascii="Arial" w:hAnsi="Arial" w:cs="Arial"/>
          <w:b/>
          <w:bCs/>
          <w:sz w:val="24"/>
          <w:szCs w:val="24"/>
        </w:rPr>
        <w:t>Schoolsnet Finance Pages</w:t>
      </w:r>
    </w:p>
    <w:p w14:paraId="7061C1CC" w14:textId="77777777" w:rsidR="001C3448" w:rsidRDefault="001C3448" w:rsidP="00620840">
      <w:pPr>
        <w:spacing w:after="0" w:line="240" w:lineRule="auto"/>
        <w:ind w:left="357"/>
        <w:rPr>
          <w:rFonts w:ascii="Arial" w:hAnsi="Arial" w:cs="Arial"/>
          <w:b/>
          <w:sz w:val="24"/>
        </w:rPr>
      </w:pPr>
    </w:p>
    <w:p w14:paraId="7154A20C" w14:textId="10F01BDD" w:rsidR="001C3448" w:rsidRDefault="001C3448" w:rsidP="00620840">
      <w:pPr>
        <w:spacing w:after="0" w:line="240" w:lineRule="auto"/>
        <w:rPr>
          <w:rFonts w:ascii="Arial" w:hAnsi="Arial" w:cs="Arial"/>
          <w:sz w:val="24"/>
          <w:szCs w:val="28"/>
        </w:rPr>
      </w:pPr>
      <w:r>
        <w:rPr>
          <w:rFonts w:ascii="Arial" w:hAnsi="Arial" w:cs="Arial"/>
          <w:sz w:val="24"/>
          <w:szCs w:val="28"/>
        </w:rPr>
        <w:t>Please use the schools finance pages on schoolnet to keep up to date with</w:t>
      </w:r>
      <w:r w:rsidR="00554C58">
        <w:rPr>
          <w:rFonts w:ascii="Arial" w:hAnsi="Arial" w:cs="Arial"/>
          <w:sz w:val="24"/>
          <w:szCs w:val="28"/>
        </w:rPr>
        <w:t xml:space="preserve"> information with regards to </w:t>
      </w:r>
      <w:r w:rsidRPr="001C3448">
        <w:rPr>
          <w:rFonts w:ascii="Arial" w:hAnsi="Arial" w:cs="Arial"/>
          <w:sz w:val="24"/>
          <w:szCs w:val="28"/>
        </w:rPr>
        <w:t xml:space="preserve">school budgets, </w:t>
      </w:r>
      <w:r w:rsidR="00010D18" w:rsidRPr="001C3448">
        <w:rPr>
          <w:rFonts w:ascii="Arial" w:hAnsi="Arial" w:cs="Arial"/>
          <w:sz w:val="24"/>
          <w:szCs w:val="28"/>
        </w:rPr>
        <w:t>year-end</w:t>
      </w:r>
      <w:r w:rsidRPr="001C3448">
        <w:rPr>
          <w:rFonts w:ascii="Arial" w:hAnsi="Arial" w:cs="Arial"/>
          <w:sz w:val="24"/>
          <w:szCs w:val="28"/>
        </w:rPr>
        <w:t xml:space="preserve"> accounting,</w:t>
      </w:r>
      <w:r>
        <w:rPr>
          <w:rFonts w:ascii="Arial" w:hAnsi="Arial" w:cs="Arial"/>
          <w:sz w:val="24"/>
          <w:szCs w:val="28"/>
        </w:rPr>
        <w:t xml:space="preserve"> school regulations and funding</w:t>
      </w:r>
      <w:r w:rsidR="00E603CE">
        <w:rPr>
          <w:rFonts w:ascii="Arial" w:hAnsi="Arial" w:cs="Arial"/>
          <w:sz w:val="24"/>
          <w:szCs w:val="28"/>
        </w:rPr>
        <w:t>.</w:t>
      </w:r>
    </w:p>
    <w:p w14:paraId="07D56E34" w14:textId="77777777" w:rsidR="005B6853" w:rsidRDefault="00AB7791" w:rsidP="005B6853">
      <w:pPr>
        <w:spacing w:after="0" w:line="240" w:lineRule="auto"/>
      </w:pPr>
      <w:hyperlink r:id="rId31" w:history="1">
        <w:r w:rsidRPr="00AB7791">
          <w:rPr>
            <w:rStyle w:val="Hyperlink"/>
            <w:rFonts w:ascii="Arial" w:hAnsi="Arial" w:cs="Arial"/>
            <w:sz w:val="24"/>
            <w:szCs w:val="28"/>
          </w:rPr>
          <w:t>https://www.gloucestershire.gov.uk/schoolsnet/school-office/school-finance/</w:t>
        </w:r>
      </w:hyperlink>
    </w:p>
    <w:p w14:paraId="1C32D521" w14:textId="120C95A4" w:rsidR="00D16F40" w:rsidRDefault="00246595" w:rsidP="005B6853">
      <w:pPr>
        <w:spacing w:after="0" w:line="240" w:lineRule="auto"/>
        <w:rPr>
          <w:rStyle w:val="Hyperlink"/>
          <w:rFonts w:ascii="Arial" w:hAnsi="Arial" w:cs="Arial"/>
          <w:sz w:val="24"/>
        </w:rPr>
      </w:pPr>
      <w:r>
        <w:rPr>
          <w:rFonts w:eastAsia="Times New Roman"/>
        </w:rPr>
        <w:br/>
      </w:r>
    </w:p>
    <w:sectPr w:rsidR="00D16F40" w:rsidSect="00464C0E">
      <w:headerReference w:type="even" r:id="rId32"/>
      <w:headerReference w:type="default" r:id="rId33"/>
      <w:footerReference w:type="default" r:id="rId34"/>
      <w:headerReference w:type="first" r:id="rId35"/>
      <w:pgSz w:w="11906" w:h="16838"/>
      <w:pgMar w:top="720" w:right="720" w:bottom="720"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07E87" w14:textId="77777777" w:rsidR="0075108F" w:rsidRDefault="0075108F" w:rsidP="00102DF9">
      <w:pPr>
        <w:spacing w:after="0" w:line="240" w:lineRule="auto"/>
      </w:pPr>
      <w:r>
        <w:separator/>
      </w:r>
    </w:p>
  </w:endnote>
  <w:endnote w:type="continuationSeparator" w:id="0">
    <w:p w14:paraId="45E52D4D" w14:textId="77777777" w:rsidR="0075108F" w:rsidRDefault="0075108F" w:rsidP="00102DF9">
      <w:pPr>
        <w:spacing w:after="0" w:line="240" w:lineRule="auto"/>
      </w:pPr>
      <w:r>
        <w:continuationSeparator/>
      </w:r>
    </w:p>
  </w:endnote>
  <w:endnote w:type="continuationNotice" w:id="1">
    <w:p w14:paraId="364B1B99" w14:textId="77777777" w:rsidR="0075108F" w:rsidRDefault="007510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798413121"/>
      <w:docPartObj>
        <w:docPartGallery w:val="Page Numbers (Bottom of Page)"/>
        <w:docPartUnique/>
      </w:docPartObj>
    </w:sdtPr>
    <w:sdtContent>
      <w:sdt>
        <w:sdtPr>
          <w:rPr>
            <w:rFonts w:ascii="Arial" w:hAnsi="Arial" w:cs="Arial"/>
            <w:sz w:val="16"/>
            <w:szCs w:val="16"/>
          </w:rPr>
          <w:id w:val="332262763"/>
          <w:docPartObj>
            <w:docPartGallery w:val="Page Numbers (Top of Page)"/>
            <w:docPartUnique/>
          </w:docPartObj>
        </w:sdtPr>
        <w:sdtContent>
          <w:p w14:paraId="5FBE8AD7" w14:textId="77777777" w:rsidR="00180D91" w:rsidRPr="00A06170" w:rsidRDefault="00180D91">
            <w:pPr>
              <w:pStyle w:val="Footer"/>
              <w:jc w:val="right"/>
              <w:rPr>
                <w:rFonts w:ascii="Arial" w:hAnsi="Arial" w:cs="Arial"/>
                <w:sz w:val="16"/>
              </w:rPr>
            </w:pPr>
            <w:r w:rsidRPr="00A06170">
              <w:rPr>
                <w:rFonts w:ascii="Arial" w:hAnsi="Arial" w:cs="Arial"/>
                <w:sz w:val="16"/>
              </w:rPr>
              <w:t xml:space="preserve">Page </w:t>
            </w:r>
            <w:r w:rsidRPr="00A06170">
              <w:rPr>
                <w:rFonts w:ascii="Arial" w:hAnsi="Arial" w:cs="Arial"/>
                <w:b/>
                <w:bCs/>
                <w:sz w:val="18"/>
                <w:szCs w:val="24"/>
              </w:rPr>
              <w:fldChar w:fldCharType="begin"/>
            </w:r>
            <w:r w:rsidRPr="00A06170">
              <w:rPr>
                <w:rFonts w:ascii="Arial" w:hAnsi="Arial" w:cs="Arial"/>
                <w:b/>
                <w:bCs/>
                <w:sz w:val="16"/>
              </w:rPr>
              <w:instrText xml:space="preserve"> PAGE </w:instrText>
            </w:r>
            <w:r w:rsidRPr="00A06170">
              <w:rPr>
                <w:rFonts w:ascii="Arial" w:hAnsi="Arial" w:cs="Arial"/>
                <w:b/>
                <w:bCs/>
                <w:sz w:val="18"/>
                <w:szCs w:val="24"/>
              </w:rPr>
              <w:fldChar w:fldCharType="separate"/>
            </w:r>
            <w:r w:rsidR="00FC5F4B">
              <w:rPr>
                <w:rFonts w:ascii="Arial" w:hAnsi="Arial" w:cs="Arial"/>
                <w:b/>
                <w:bCs/>
                <w:noProof/>
                <w:sz w:val="16"/>
              </w:rPr>
              <w:t>13</w:t>
            </w:r>
            <w:r w:rsidRPr="00A06170">
              <w:rPr>
                <w:rFonts w:ascii="Arial" w:hAnsi="Arial" w:cs="Arial"/>
                <w:b/>
                <w:bCs/>
                <w:sz w:val="18"/>
                <w:szCs w:val="24"/>
              </w:rPr>
              <w:fldChar w:fldCharType="end"/>
            </w:r>
            <w:r w:rsidRPr="00A06170">
              <w:rPr>
                <w:rFonts w:ascii="Arial" w:hAnsi="Arial" w:cs="Arial"/>
                <w:sz w:val="16"/>
              </w:rPr>
              <w:t xml:space="preserve"> of </w:t>
            </w:r>
            <w:r w:rsidRPr="00A06170">
              <w:rPr>
                <w:rFonts w:ascii="Arial" w:hAnsi="Arial" w:cs="Arial"/>
                <w:b/>
                <w:bCs/>
                <w:sz w:val="18"/>
                <w:szCs w:val="24"/>
              </w:rPr>
              <w:fldChar w:fldCharType="begin"/>
            </w:r>
            <w:r w:rsidRPr="00A06170">
              <w:rPr>
                <w:rFonts w:ascii="Arial" w:hAnsi="Arial" w:cs="Arial"/>
                <w:b/>
                <w:bCs/>
                <w:sz w:val="16"/>
              </w:rPr>
              <w:instrText xml:space="preserve"> NUMPAGES  </w:instrText>
            </w:r>
            <w:r w:rsidRPr="00A06170">
              <w:rPr>
                <w:rFonts w:ascii="Arial" w:hAnsi="Arial" w:cs="Arial"/>
                <w:b/>
                <w:bCs/>
                <w:sz w:val="18"/>
                <w:szCs w:val="24"/>
              </w:rPr>
              <w:fldChar w:fldCharType="separate"/>
            </w:r>
            <w:r w:rsidR="00FC5F4B">
              <w:rPr>
                <w:rFonts w:ascii="Arial" w:hAnsi="Arial" w:cs="Arial"/>
                <w:b/>
                <w:bCs/>
                <w:noProof/>
                <w:sz w:val="16"/>
              </w:rPr>
              <w:t>13</w:t>
            </w:r>
            <w:r w:rsidRPr="00A06170">
              <w:rPr>
                <w:rFonts w:ascii="Arial" w:hAnsi="Arial" w:cs="Arial"/>
                <w:b/>
                <w:bCs/>
                <w:sz w:val="18"/>
                <w:szCs w:val="24"/>
              </w:rPr>
              <w:fldChar w:fldCharType="end"/>
            </w:r>
          </w:p>
        </w:sdtContent>
      </w:sdt>
    </w:sdtContent>
  </w:sdt>
  <w:p w14:paraId="2BE1366B" w14:textId="77777777" w:rsidR="00180D91" w:rsidRDefault="00180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96FE3" w14:textId="77777777" w:rsidR="0075108F" w:rsidRDefault="0075108F" w:rsidP="00102DF9">
      <w:pPr>
        <w:spacing w:after="0" w:line="240" w:lineRule="auto"/>
      </w:pPr>
      <w:r>
        <w:separator/>
      </w:r>
    </w:p>
  </w:footnote>
  <w:footnote w:type="continuationSeparator" w:id="0">
    <w:p w14:paraId="5EA8A425" w14:textId="77777777" w:rsidR="0075108F" w:rsidRDefault="0075108F" w:rsidP="00102DF9">
      <w:pPr>
        <w:spacing w:after="0" w:line="240" w:lineRule="auto"/>
      </w:pPr>
      <w:r>
        <w:continuationSeparator/>
      </w:r>
    </w:p>
  </w:footnote>
  <w:footnote w:type="continuationNotice" w:id="1">
    <w:p w14:paraId="5E298F55" w14:textId="77777777" w:rsidR="0075108F" w:rsidRDefault="0075108F">
      <w:pPr>
        <w:spacing w:after="0" w:line="240" w:lineRule="auto"/>
      </w:pPr>
    </w:p>
  </w:footnote>
  <w:footnote w:id="2">
    <w:p w14:paraId="27DF1E11" w14:textId="77777777" w:rsidR="006002A2" w:rsidRPr="006002A2" w:rsidRDefault="00A65EA2" w:rsidP="006002A2">
      <w:pPr>
        <w:ind w:left="360"/>
        <w:rPr>
          <w:i/>
          <w:iCs/>
          <w:sz w:val="20"/>
          <w:szCs w:val="20"/>
          <w:lang w:val="en-US"/>
        </w:rPr>
      </w:pPr>
      <w:r w:rsidRPr="006002A2">
        <w:rPr>
          <w:rStyle w:val="FootnoteReference"/>
          <w:sz w:val="20"/>
          <w:szCs w:val="20"/>
        </w:rPr>
        <w:footnoteRef/>
      </w:r>
      <w:r w:rsidRPr="006002A2">
        <w:rPr>
          <w:sz w:val="20"/>
          <w:szCs w:val="20"/>
        </w:rPr>
        <w:t xml:space="preserve"> </w:t>
      </w:r>
      <w:r w:rsidR="006002A2" w:rsidRPr="006002A2">
        <w:rPr>
          <w:i/>
          <w:iCs/>
          <w:sz w:val="20"/>
          <w:szCs w:val="20"/>
          <w:lang w:val="en-US"/>
        </w:rPr>
        <w:t>A Lower layer Super Output Area (LSOA) is a geographical area. The boundaries of the areas are based on population size, and they are often smaller in size than an electoral ward. Each LSOA has a minimum population size of 1,000 and an average of 1,500.</w:t>
      </w:r>
    </w:p>
    <w:p w14:paraId="69D282F5" w14:textId="1B2F41A2" w:rsidR="00A65EA2" w:rsidRDefault="00A65EA2" w:rsidP="006002A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2DB6" w14:textId="167D8DA8" w:rsidR="00C23551" w:rsidRDefault="00C23551">
    <w:pPr>
      <w:pStyle w:val="Header"/>
    </w:pPr>
    <w:r>
      <w:rPr>
        <w:noProof/>
      </w:rPr>
      <mc:AlternateContent>
        <mc:Choice Requires="wps">
          <w:drawing>
            <wp:anchor distT="0" distB="0" distL="0" distR="0" simplePos="0" relativeHeight="251658241" behindDoc="0" locked="0" layoutInCell="1" allowOverlap="1" wp14:anchorId="69B025B8" wp14:editId="66F5D328">
              <wp:simplePos x="635" y="635"/>
              <wp:positionH relativeFrom="page">
                <wp:align>left</wp:align>
              </wp:positionH>
              <wp:positionV relativeFrom="page">
                <wp:align>top</wp:align>
              </wp:positionV>
              <wp:extent cx="443865" cy="443865"/>
              <wp:effectExtent l="0" t="0" r="12065" b="12065"/>
              <wp:wrapNone/>
              <wp:docPr id="419700389" name="Text Box 2"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485C31" w14:textId="1D0590FB" w:rsidR="00C23551" w:rsidRPr="00C23551" w:rsidRDefault="00C23551" w:rsidP="00C23551">
                          <w:pPr>
                            <w:spacing w:after="0"/>
                            <w:rPr>
                              <w:rFonts w:ascii="Calibri" w:eastAsia="Calibri" w:hAnsi="Calibri" w:cs="Calibri"/>
                              <w:noProof/>
                              <w:color w:val="000000"/>
                              <w:sz w:val="20"/>
                              <w:szCs w:val="20"/>
                            </w:rPr>
                          </w:pPr>
                          <w:r w:rsidRPr="00C2355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9B025B8" id="_x0000_t202" coordsize="21600,21600" o:spt="202" path="m,l,21600r21600,l21600,xe">
              <v:stroke joinstyle="miter"/>
              <v:path gradientshapeok="t" o:connecttype="rect"/>
            </v:shapetype>
            <v:shape id="Text Box 2" o:spid="_x0000_s1026" type="#_x0000_t202" alt="Official - Financial" style="position:absolute;margin-left:0;margin-top:0;width:34.95pt;height:34.9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32485C31" w14:textId="1D0590FB" w:rsidR="00C23551" w:rsidRPr="00C23551" w:rsidRDefault="00C23551" w:rsidP="00C23551">
                    <w:pPr>
                      <w:spacing w:after="0"/>
                      <w:rPr>
                        <w:rFonts w:ascii="Calibri" w:eastAsia="Calibri" w:hAnsi="Calibri" w:cs="Calibri"/>
                        <w:noProof/>
                        <w:color w:val="000000"/>
                        <w:sz w:val="20"/>
                        <w:szCs w:val="20"/>
                      </w:rPr>
                    </w:pPr>
                    <w:r w:rsidRPr="00C2355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640B2" w14:textId="004594BC" w:rsidR="00C23551" w:rsidRDefault="00C23551">
    <w:pPr>
      <w:pStyle w:val="Header"/>
    </w:pPr>
    <w:r>
      <w:rPr>
        <w:noProof/>
      </w:rPr>
      <mc:AlternateContent>
        <mc:Choice Requires="wps">
          <w:drawing>
            <wp:anchor distT="0" distB="0" distL="0" distR="0" simplePos="0" relativeHeight="251658242" behindDoc="0" locked="0" layoutInCell="1" allowOverlap="1" wp14:anchorId="0867B190" wp14:editId="1615B6BC">
              <wp:simplePos x="461176" y="453224"/>
              <wp:positionH relativeFrom="page">
                <wp:align>left</wp:align>
              </wp:positionH>
              <wp:positionV relativeFrom="page">
                <wp:align>top</wp:align>
              </wp:positionV>
              <wp:extent cx="443865" cy="443865"/>
              <wp:effectExtent l="0" t="0" r="12065" b="12065"/>
              <wp:wrapNone/>
              <wp:docPr id="1676987403" name="Text Box 3"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594EF7" w14:textId="06371707" w:rsidR="00C23551" w:rsidRPr="00C23551" w:rsidRDefault="00C23551" w:rsidP="00C23551">
                          <w:pPr>
                            <w:spacing w:after="0"/>
                            <w:rPr>
                              <w:rFonts w:ascii="Calibri" w:eastAsia="Calibri" w:hAnsi="Calibri" w:cs="Calibri"/>
                              <w:noProof/>
                              <w:color w:val="000000"/>
                              <w:sz w:val="20"/>
                              <w:szCs w:val="20"/>
                            </w:rPr>
                          </w:pPr>
                          <w:r w:rsidRPr="00C2355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867B190" id="_x0000_t202" coordsize="21600,21600" o:spt="202" path="m,l,21600r21600,l21600,xe">
              <v:stroke joinstyle="miter"/>
              <v:path gradientshapeok="t" o:connecttype="rect"/>
            </v:shapetype>
            <v:shape id="Text Box 3" o:spid="_x0000_s1027" type="#_x0000_t202" alt="Official - Financial" style="position:absolute;margin-left:0;margin-top:0;width:34.95pt;height:34.9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D594EF7" w14:textId="06371707" w:rsidR="00C23551" w:rsidRPr="00C23551" w:rsidRDefault="00C23551" w:rsidP="00C23551">
                    <w:pPr>
                      <w:spacing w:after="0"/>
                      <w:rPr>
                        <w:rFonts w:ascii="Calibri" w:eastAsia="Calibri" w:hAnsi="Calibri" w:cs="Calibri"/>
                        <w:noProof/>
                        <w:color w:val="000000"/>
                        <w:sz w:val="20"/>
                        <w:szCs w:val="20"/>
                      </w:rPr>
                    </w:pPr>
                    <w:r w:rsidRPr="00C2355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6C1E" w14:textId="42393211" w:rsidR="00C23551" w:rsidRDefault="00C23551">
    <w:pPr>
      <w:pStyle w:val="Header"/>
    </w:pPr>
    <w:r>
      <w:rPr>
        <w:noProof/>
      </w:rPr>
      <mc:AlternateContent>
        <mc:Choice Requires="wps">
          <w:drawing>
            <wp:anchor distT="0" distB="0" distL="0" distR="0" simplePos="0" relativeHeight="251658240" behindDoc="0" locked="0" layoutInCell="1" allowOverlap="1" wp14:anchorId="27427D22" wp14:editId="6D788AED">
              <wp:simplePos x="635" y="635"/>
              <wp:positionH relativeFrom="page">
                <wp:align>left</wp:align>
              </wp:positionH>
              <wp:positionV relativeFrom="page">
                <wp:align>top</wp:align>
              </wp:positionV>
              <wp:extent cx="443865" cy="443865"/>
              <wp:effectExtent l="0" t="0" r="12065" b="12065"/>
              <wp:wrapNone/>
              <wp:docPr id="1834790817" name="Text Box 1" descr="Official - Finan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2A3895" w14:textId="51C97CFA" w:rsidR="00C23551" w:rsidRPr="00C23551" w:rsidRDefault="00C23551" w:rsidP="00C23551">
                          <w:pPr>
                            <w:spacing w:after="0"/>
                            <w:rPr>
                              <w:rFonts w:ascii="Calibri" w:eastAsia="Calibri" w:hAnsi="Calibri" w:cs="Calibri"/>
                              <w:noProof/>
                              <w:color w:val="000000"/>
                              <w:sz w:val="20"/>
                              <w:szCs w:val="20"/>
                            </w:rPr>
                          </w:pPr>
                          <w:r w:rsidRPr="00C23551">
                            <w:rPr>
                              <w:rFonts w:ascii="Calibri" w:eastAsia="Calibri" w:hAnsi="Calibri" w:cs="Calibri"/>
                              <w:noProof/>
                              <w:color w:val="000000"/>
                              <w:sz w:val="20"/>
                              <w:szCs w:val="20"/>
                            </w:rPr>
                            <w:t>Official - Financial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7427D22" id="_x0000_t202" coordsize="21600,21600" o:spt="202" path="m,l,21600r21600,l21600,xe">
              <v:stroke joinstyle="miter"/>
              <v:path gradientshapeok="t" o:connecttype="rect"/>
            </v:shapetype>
            <v:shape id="Text Box 1" o:spid="_x0000_s1028" type="#_x0000_t202" alt="Official - Finan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3F2A3895" w14:textId="51C97CFA" w:rsidR="00C23551" w:rsidRPr="00C23551" w:rsidRDefault="00C23551" w:rsidP="00C23551">
                    <w:pPr>
                      <w:spacing w:after="0"/>
                      <w:rPr>
                        <w:rFonts w:ascii="Calibri" w:eastAsia="Calibri" w:hAnsi="Calibri" w:cs="Calibri"/>
                        <w:noProof/>
                        <w:color w:val="000000"/>
                        <w:sz w:val="20"/>
                        <w:szCs w:val="20"/>
                      </w:rPr>
                    </w:pPr>
                    <w:r w:rsidRPr="00C23551">
                      <w:rPr>
                        <w:rFonts w:ascii="Calibri" w:eastAsia="Calibri" w:hAnsi="Calibri" w:cs="Calibri"/>
                        <w:noProof/>
                        <w:color w:val="000000"/>
                        <w:sz w:val="20"/>
                        <w:szCs w:val="20"/>
                      </w:rPr>
                      <w:t>Official - Financial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6C6"/>
    <w:multiLevelType w:val="hybridMultilevel"/>
    <w:tmpl w:val="79AE9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95F0B"/>
    <w:multiLevelType w:val="hybridMultilevel"/>
    <w:tmpl w:val="EFCCF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9457DB"/>
    <w:multiLevelType w:val="hybridMultilevel"/>
    <w:tmpl w:val="51D23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EB4413"/>
    <w:multiLevelType w:val="hybridMultilevel"/>
    <w:tmpl w:val="8EACCD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5812EA"/>
    <w:multiLevelType w:val="hybridMultilevel"/>
    <w:tmpl w:val="A6A48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4734D"/>
    <w:multiLevelType w:val="hybridMultilevel"/>
    <w:tmpl w:val="2214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93C0D"/>
    <w:multiLevelType w:val="hybridMultilevel"/>
    <w:tmpl w:val="1D3014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C5054F"/>
    <w:multiLevelType w:val="hybridMultilevel"/>
    <w:tmpl w:val="50E6DE6E"/>
    <w:lvl w:ilvl="0" w:tplc="9F980B8E">
      <w:start w:val="1"/>
      <w:numFmt w:val="bullet"/>
      <w:lvlText w:val=""/>
      <w:lvlJc w:val="left"/>
      <w:pPr>
        <w:tabs>
          <w:tab w:val="num" w:pos="360"/>
        </w:tabs>
        <w:ind w:left="360" w:hanging="360"/>
      </w:pPr>
      <w:rPr>
        <w:rFonts w:ascii="Symbol" w:hAnsi="Symbol" w:hint="default"/>
        <w:sz w:val="24"/>
      </w:rPr>
    </w:lvl>
    <w:lvl w:ilvl="1" w:tplc="FA32D47E">
      <w:start w:val="1"/>
      <w:numFmt w:val="decimal"/>
      <w:lvlText w:val="%2."/>
      <w:lvlJc w:val="left"/>
      <w:pPr>
        <w:tabs>
          <w:tab w:val="num" w:pos="0"/>
        </w:tabs>
        <w:ind w:left="0" w:hanging="360"/>
      </w:pPr>
      <w:rPr>
        <w:rFonts w:ascii="Arial" w:hAnsi="Arial" w:hint="default"/>
        <w:b/>
        <w:i w:val="0"/>
        <w:sz w:val="24"/>
        <w:szCs w:val="24"/>
      </w:rPr>
    </w:lvl>
    <w:lvl w:ilvl="2" w:tplc="9B164990">
      <w:start w:val="1"/>
      <w:numFmt w:val="lowerLetter"/>
      <w:lvlText w:val="%3)"/>
      <w:lvlJc w:val="left"/>
      <w:pPr>
        <w:tabs>
          <w:tab w:val="num" w:pos="786"/>
        </w:tabs>
        <w:ind w:left="786" w:hanging="360"/>
      </w:pPr>
      <w:rPr>
        <w:rFonts w:hint="default"/>
        <w:b/>
        <w:bCs/>
        <w:sz w:val="24"/>
      </w:rPr>
    </w:lvl>
    <w:lvl w:ilvl="3" w:tplc="08090001">
      <w:start w:val="1"/>
      <w:numFmt w:val="bullet"/>
      <w:lvlText w:val=""/>
      <w:lvlJc w:val="left"/>
      <w:pPr>
        <w:tabs>
          <w:tab w:val="num" w:pos="1440"/>
        </w:tabs>
        <w:ind w:left="1440" w:hanging="360"/>
      </w:pPr>
      <w:rPr>
        <w:rFonts w:ascii="Symbol" w:hAnsi="Symbol" w:hint="default"/>
      </w:rPr>
    </w:lvl>
    <w:lvl w:ilvl="4" w:tplc="08090003" w:tentative="1">
      <w:start w:val="1"/>
      <w:numFmt w:val="bullet"/>
      <w:lvlText w:val="o"/>
      <w:lvlJc w:val="left"/>
      <w:pPr>
        <w:tabs>
          <w:tab w:val="num" w:pos="2160"/>
        </w:tabs>
        <w:ind w:left="2160" w:hanging="360"/>
      </w:pPr>
      <w:rPr>
        <w:rFonts w:ascii="Courier New" w:hAnsi="Courier New" w:cs="Courier New" w:hint="default"/>
      </w:rPr>
    </w:lvl>
    <w:lvl w:ilvl="5" w:tplc="08090005" w:tentative="1">
      <w:start w:val="1"/>
      <w:numFmt w:val="bullet"/>
      <w:lvlText w:val=""/>
      <w:lvlJc w:val="left"/>
      <w:pPr>
        <w:tabs>
          <w:tab w:val="num" w:pos="2880"/>
        </w:tabs>
        <w:ind w:left="2880" w:hanging="360"/>
      </w:pPr>
      <w:rPr>
        <w:rFonts w:ascii="Wingdings" w:hAnsi="Wingdings" w:hint="default"/>
      </w:rPr>
    </w:lvl>
    <w:lvl w:ilvl="6" w:tplc="08090001" w:tentative="1">
      <w:start w:val="1"/>
      <w:numFmt w:val="bullet"/>
      <w:lvlText w:val=""/>
      <w:lvlJc w:val="left"/>
      <w:pPr>
        <w:tabs>
          <w:tab w:val="num" w:pos="3600"/>
        </w:tabs>
        <w:ind w:left="3600" w:hanging="360"/>
      </w:pPr>
      <w:rPr>
        <w:rFonts w:ascii="Symbol" w:hAnsi="Symbol" w:hint="default"/>
      </w:rPr>
    </w:lvl>
    <w:lvl w:ilvl="7" w:tplc="08090003" w:tentative="1">
      <w:start w:val="1"/>
      <w:numFmt w:val="bullet"/>
      <w:lvlText w:val="o"/>
      <w:lvlJc w:val="left"/>
      <w:pPr>
        <w:tabs>
          <w:tab w:val="num" w:pos="4320"/>
        </w:tabs>
        <w:ind w:left="4320" w:hanging="360"/>
      </w:pPr>
      <w:rPr>
        <w:rFonts w:ascii="Courier New" w:hAnsi="Courier New" w:cs="Courier New" w:hint="default"/>
      </w:rPr>
    </w:lvl>
    <w:lvl w:ilvl="8" w:tplc="08090005" w:tentative="1">
      <w:start w:val="1"/>
      <w:numFmt w:val="bullet"/>
      <w:lvlText w:val=""/>
      <w:lvlJc w:val="left"/>
      <w:pPr>
        <w:tabs>
          <w:tab w:val="num" w:pos="5040"/>
        </w:tabs>
        <w:ind w:left="5040" w:hanging="360"/>
      </w:pPr>
      <w:rPr>
        <w:rFonts w:ascii="Wingdings" w:hAnsi="Wingdings" w:hint="default"/>
      </w:rPr>
    </w:lvl>
  </w:abstractNum>
  <w:abstractNum w:abstractNumId="8" w15:restartNumberingAfterBreak="0">
    <w:nsid w:val="18E954F2"/>
    <w:multiLevelType w:val="hybridMultilevel"/>
    <w:tmpl w:val="380A2E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475E87"/>
    <w:multiLevelType w:val="hybridMultilevel"/>
    <w:tmpl w:val="AD3E9BD4"/>
    <w:lvl w:ilvl="0" w:tplc="621433B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A523F7"/>
    <w:multiLevelType w:val="hybridMultilevel"/>
    <w:tmpl w:val="F836E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6DA381F"/>
    <w:multiLevelType w:val="hybridMultilevel"/>
    <w:tmpl w:val="976EBDB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7082AC3"/>
    <w:multiLevelType w:val="hybridMultilevel"/>
    <w:tmpl w:val="77AA1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01BFF"/>
    <w:multiLevelType w:val="hybridMultilevel"/>
    <w:tmpl w:val="914472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C3332E1"/>
    <w:multiLevelType w:val="hybridMultilevel"/>
    <w:tmpl w:val="21B8E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542586"/>
    <w:multiLevelType w:val="hybridMultilevel"/>
    <w:tmpl w:val="84424D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7A28BB"/>
    <w:multiLevelType w:val="hybridMultilevel"/>
    <w:tmpl w:val="78526D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520D05"/>
    <w:multiLevelType w:val="hybridMultilevel"/>
    <w:tmpl w:val="6502528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F0A2B51"/>
    <w:multiLevelType w:val="hybridMultilevel"/>
    <w:tmpl w:val="764011D0"/>
    <w:lvl w:ilvl="0" w:tplc="DD0238E8">
      <w:start w:val="1"/>
      <w:numFmt w:val="decimal"/>
      <w:lvlText w:val="%1."/>
      <w:lvlJc w:val="left"/>
      <w:pPr>
        <w:ind w:left="360" w:hanging="360"/>
      </w:pPr>
      <w:rPr>
        <w:rFonts w:ascii="Arial" w:hAnsi="Arial" w:cs="Arial" w:hint="default"/>
        <w:b/>
        <w:sz w:val="24"/>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17140E5"/>
    <w:multiLevelType w:val="hybridMultilevel"/>
    <w:tmpl w:val="A3A2E7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349010F"/>
    <w:multiLevelType w:val="hybridMultilevel"/>
    <w:tmpl w:val="ABAC5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8D1AE6"/>
    <w:multiLevelType w:val="hybridMultilevel"/>
    <w:tmpl w:val="5062554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7570DEE"/>
    <w:multiLevelType w:val="hybridMultilevel"/>
    <w:tmpl w:val="0CEAF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21504C"/>
    <w:multiLevelType w:val="hybridMultilevel"/>
    <w:tmpl w:val="0278E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0847F4"/>
    <w:multiLevelType w:val="hybridMultilevel"/>
    <w:tmpl w:val="587E39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25E2DE8"/>
    <w:multiLevelType w:val="hybridMultilevel"/>
    <w:tmpl w:val="B5D6585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6" w15:restartNumberingAfterBreak="0">
    <w:nsid w:val="545C021D"/>
    <w:multiLevelType w:val="multilevel"/>
    <w:tmpl w:val="607C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6A1E80"/>
    <w:multiLevelType w:val="hybridMultilevel"/>
    <w:tmpl w:val="717A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5822204"/>
    <w:multiLevelType w:val="hybridMultilevel"/>
    <w:tmpl w:val="5172E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747D97"/>
    <w:multiLevelType w:val="hybridMultilevel"/>
    <w:tmpl w:val="DB5E20B8"/>
    <w:lvl w:ilvl="0" w:tplc="49C43CB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20576F"/>
    <w:multiLevelType w:val="hybridMultilevel"/>
    <w:tmpl w:val="13DC3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A925491"/>
    <w:multiLevelType w:val="hybridMultilevel"/>
    <w:tmpl w:val="087A8E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B6F7084"/>
    <w:multiLevelType w:val="hybridMultilevel"/>
    <w:tmpl w:val="6A0EF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F5778C"/>
    <w:multiLevelType w:val="hybridMultilevel"/>
    <w:tmpl w:val="24203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785704"/>
    <w:multiLevelType w:val="hybridMultilevel"/>
    <w:tmpl w:val="F8AEB9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38C3DC2"/>
    <w:multiLevelType w:val="hybridMultilevel"/>
    <w:tmpl w:val="E012D05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6" w15:restartNumberingAfterBreak="0">
    <w:nsid w:val="64A967CF"/>
    <w:multiLevelType w:val="hybridMultilevel"/>
    <w:tmpl w:val="8F12325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5C20564"/>
    <w:multiLevelType w:val="hybridMultilevel"/>
    <w:tmpl w:val="1EA271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6E10B7A"/>
    <w:multiLevelType w:val="hybridMultilevel"/>
    <w:tmpl w:val="6980ABE2"/>
    <w:lvl w:ilvl="0" w:tplc="49C43CB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E035EE"/>
    <w:multiLevelType w:val="hybridMultilevel"/>
    <w:tmpl w:val="B8341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A9A721E"/>
    <w:multiLevelType w:val="hybridMultilevel"/>
    <w:tmpl w:val="6D62AF9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C036FC2"/>
    <w:multiLevelType w:val="hybridMultilevel"/>
    <w:tmpl w:val="68002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033272"/>
    <w:multiLevelType w:val="hybridMultilevel"/>
    <w:tmpl w:val="359858D8"/>
    <w:lvl w:ilvl="0" w:tplc="9F9EFB04">
      <w:start w:val="1"/>
      <w:numFmt w:val="decimal"/>
      <w:lvlText w:val="%1."/>
      <w:lvlJc w:val="left"/>
      <w:pPr>
        <w:ind w:left="360" w:hanging="360"/>
      </w:pPr>
      <w:rPr>
        <w:rFonts w:ascii="Arial" w:hAnsi="Arial" w:cs="Arial" w:hint="default"/>
        <w:b/>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2F44D18"/>
    <w:multiLevelType w:val="hybridMultilevel"/>
    <w:tmpl w:val="D310BCB8"/>
    <w:lvl w:ilvl="0" w:tplc="08090001">
      <w:start w:val="1"/>
      <w:numFmt w:val="bullet"/>
      <w:lvlText w:val=""/>
      <w:lvlJc w:val="left"/>
      <w:pPr>
        <w:ind w:left="-54"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44" w15:restartNumberingAfterBreak="0">
    <w:nsid w:val="78273A99"/>
    <w:multiLevelType w:val="hybridMultilevel"/>
    <w:tmpl w:val="0FCC69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DB969E6"/>
    <w:multiLevelType w:val="hybridMultilevel"/>
    <w:tmpl w:val="72E2C0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F0067B1"/>
    <w:multiLevelType w:val="hybridMultilevel"/>
    <w:tmpl w:val="9BBAD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7" w15:restartNumberingAfterBreak="0">
    <w:nsid w:val="7F681646"/>
    <w:multiLevelType w:val="multilevel"/>
    <w:tmpl w:val="7060A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8862544">
    <w:abstractNumId w:val="4"/>
  </w:num>
  <w:num w:numId="2" w16cid:durableId="1101950346">
    <w:abstractNumId w:val="18"/>
  </w:num>
  <w:num w:numId="3" w16cid:durableId="1668556000">
    <w:abstractNumId w:val="17"/>
  </w:num>
  <w:num w:numId="4" w16cid:durableId="458495683">
    <w:abstractNumId w:val="36"/>
  </w:num>
  <w:num w:numId="5" w16cid:durableId="1780025960">
    <w:abstractNumId w:val="21"/>
  </w:num>
  <w:num w:numId="6" w16cid:durableId="1386678337">
    <w:abstractNumId w:val="34"/>
  </w:num>
  <w:num w:numId="7" w16cid:durableId="1157305556">
    <w:abstractNumId w:val="11"/>
  </w:num>
  <w:num w:numId="8" w16cid:durableId="856693570">
    <w:abstractNumId w:val="4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34696673">
    <w:abstractNumId w:val="40"/>
  </w:num>
  <w:num w:numId="10" w16cid:durableId="1012218083">
    <w:abstractNumId w:val="13"/>
  </w:num>
  <w:num w:numId="11" w16cid:durableId="372464015">
    <w:abstractNumId w:val="3"/>
  </w:num>
  <w:num w:numId="12" w16cid:durableId="1285431302">
    <w:abstractNumId w:val="25"/>
  </w:num>
  <w:num w:numId="13" w16cid:durableId="1901551877">
    <w:abstractNumId w:val="35"/>
  </w:num>
  <w:num w:numId="14" w16cid:durableId="817772231">
    <w:abstractNumId w:val="19"/>
  </w:num>
  <w:num w:numId="15" w16cid:durableId="1473139100">
    <w:abstractNumId w:val="42"/>
  </w:num>
  <w:num w:numId="16" w16cid:durableId="980235296">
    <w:abstractNumId w:val="45"/>
  </w:num>
  <w:num w:numId="17" w16cid:durableId="1356081300">
    <w:abstractNumId w:val="6"/>
  </w:num>
  <w:num w:numId="18" w16cid:durableId="1828857221">
    <w:abstractNumId w:val="20"/>
  </w:num>
  <w:num w:numId="19" w16cid:durableId="1309899375">
    <w:abstractNumId w:val="10"/>
  </w:num>
  <w:num w:numId="20" w16cid:durableId="1552381654">
    <w:abstractNumId w:val="38"/>
  </w:num>
  <w:num w:numId="21" w16cid:durableId="195626824">
    <w:abstractNumId w:val="29"/>
  </w:num>
  <w:num w:numId="22" w16cid:durableId="77364059">
    <w:abstractNumId w:val="31"/>
  </w:num>
  <w:num w:numId="23" w16cid:durableId="469253873">
    <w:abstractNumId w:val="9"/>
  </w:num>
  <w:num w:numId="24" w16cid:durableId="1064525095">
    <w:abstractNumId w:val="28"/>
  </w:num>
  <w:num w:numId="25" w16cid:durableId="949321272">
    <w:abstractNumId w:val="12"/>
  </w:num>
  <w:num w:numId="26" w16cid:durableId="682631114">
    <w:abstractNumId w:val="16"/>
  </w:num>
  <w:num w:numId="27" w16cid:durableId="666251481">
    <w:abstractNumId w:val="44"/>
  </w:num>
  <w:num w:numId="28" w16cid:durableId="69693277">
    <w:abstractNumId w:val="37"/>
  </w:num>
  <w:num w:numId="29" w16cid:durableId="1915697095">
    <w:abstractNumId w:val="33"/>
  </w:num>
  <w:num w:numId="30" w16cid:durableId="46226162">
    <w:abstractNumId w:val="22"/>
  </w:num>
  <w:num w:numId="31" w16cid:durableId="1193105750">
    <w:abstractNumId w:val="43"/>
  </w:num>
  <w:num w:numId="32" w16cid:durableId="208736300">
    <w:abstractNumId w:val="1"/>
  </w:num>
  <w:num w:numId="33" w16cid:durableId="1623613937">
    <w:abstractNumId w:val="14"/>
  </w:num>
  <w:num w:numId="34" w16cid:durableId="1541630025">
    <w:abstractNumId w:val="24"/>
  </w:num>
  <w:num w:numId="35" w16cid:durableId="826868964">
    <w:abstractNumId w:val="30"/>
  </w:num>
  <w:num w:numId="36" w16cid:durableId="963736026">
    <w:abstractNumId w:val="26"/>
  </w:num>
  <w:num w:numId="37" w16cid:durableId="1500346783">
    <w:abstractNumId w:val="8"/>
  </w:num>
  <w:num w:numId="38" w16cid:durableId="1001935854">
    <w:abstractNumId w:val="5"/>
  </w:num>
  <w:num w:numId="39" w16cid:durableId="527177874">
    <w:abstractNumId w:val="32"/>
  </w:num>
  <w:num w:numId="40" w16cid:durableId="918323083">
    <w:abstractNumId w:val="47"/>
  </w:num>
  <w:num w:numId="41" w16cid:durableId="1972586999">
    <w:abstractNumId w:val="27"/>
  </w:num>
  <w:num w:numId="42" w16cid:durableId="1640527936">
    <w:abstractNumId w:val="2"/>
  </w:num>
  <w:num w:numId="43" w16cid:durableId="1184318568">
    <w:abstractNumId w:val="0"/>
  </w:num>
  <w:num w:numId="44" w16cid:durableId="184289669">
    <w:abstractNumId w:val="41"/>
  </w:num>
  <w:num w:numId="45" w16cid:durableId="755905844">
    <w:abstractNumId w:val="23"/>
  </w:num>
  <w:num w:numId="46" w16cid:durableId="1459647773">
    <w:abstractNumId w:val="15"/>
  </w:num>
  <w:num w:numId="47" w16cid:durableId="163715526">
    <w:abstractNumId w:val="39"/>
  </w:num>
  <w:num w:numId="48" w16cid:durableId="16382210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EF0"/>
    <w:rsid w:val="00000045"/>
    <w:rsid w:val="00000CA7"/>
    <w:rsid w:val="00010B4F"/>
    <w:rsid w:val="00010D18"/>
    <w:rsid w:val="00012395"/>
    <w:rsid w:val="00014750"/>
    <w:rsid w:val="00014DFC"/>
    <w:rsid w:val="00014EA1"/>
    <w:rsid w:val="00023A53"/>
    <w:rsid w:val="000241D4"/>
    <w:rsid w:val="00024505"/>
    <w:rsid w:val="0002754E"/>
    <w:rsid w:val="00031B0A"/>
    <w:rsid w:val="0003336D"/>
    <w:rsid w:val="00035B22"/>
    <w:rsid w:val="00037F23"/>
    <w:rsid w:val="00040DCB"/>
    <w:rsid w:val="00041008"/>
    <w:rsid w:val="00041819"/>
    <w:rsid w:val="00042AB3"/>
    <w:rsid w:val="000435DF"/>
    <w:rsid w:val="00044C34"/>
    <w:rsid w:val="00044C9B"/>
    <w:rsid w:val="000459C1"/>
    <w:rsid w:val="00046048"/>
    <w:rsid w:val="00051396"/>
    <w:rsid w:val="00053CB0"/>
    <w:rsid w:val="00054213"/>
    <w:rsid w:val="00055823"/>
    <w:rsid w:val="00056BD6"/>
    <w:rsid w:val="000652B5"/>
    <w:rsid w:val="000675BE"/>
    <w:rsid w:val="000675D4"/>
    <w:rsid w:val="00070B5A"/>
    <w:rsid w:val="00072E07"/>
    <w:rsid w:val="0007393D"/>
    <w:rsid w:val="0008647D"/>
    <w:rsid w:val="00091066"/>
    <w:rsid w:val="00093E41"/>
    <w:rsid w:val="0009551B"/>
    <w:rsid w:val="00095BF4"/>
    <w:rsid w:val="000A3542"/>
    <w:rsid w:val="000A59AA"/>
    <w:rsid w:val="000B1287"/>
    <w:rsid w:val="000B27FB"/>
    <w:rsid w:val="000B4846"/>
    <w:rsid w:val="000B6278"/>
    <w:rsid w:val="000B7587"/>
    <w:rsid w:val="000B7B3F"/>
    <w:rsid w:val="000B7E5B"/>
    <w:rsid w:val="000B7E7A"/>
    <w:rsid w:val="000C1436"/>
    <w:rsid w:val="000C1E76"/>
    <w:rsid w:val="000C2B65"/>
    <w:rsid w:val="000C3DE1"/>
    <w:rsid w:val="000C7E8A"/>
    <w:rsid w:val="000D20C3"/>
    <w:rsid w:val="000D31D3"/>
    <w:rsid w:val="000E510A"/>
    <w:rsid w:val="000E7009"/>
    <w:rsid w:val="000F3367"/>
    <w:rsid w:val="000F3CEE"/>
    <w:rsid w:val="000F500D"/>
    <w:rsid w:val="000F5DDF"/>
    <w:rsid w:val="000F5E24"/>
    <w:rsid w:val="000F5F65"/>
    <w:rsid w:val="00102DF9"/>
    <w:rsid w:val="00106A13"/>
    <w:rsid w:val="00110136"/>
    <w:rsid w:val="00112333"/>
    <w:rsid w:val="00112F0D"/>
    <w:rsid w:val="00113A32"/>
    <w:rsid w:val="00113B04"/>
    <w:rsid w:val="00113FE0"/>
    <w:rsid w:val="001204E4"/>
    <w:rsid w:val="0012167C"/>
    <w:rsid w:val="0012368A"/>
    <w:rsid w:val="00124AD0"/>
    <w:rsid w:val="00125318"/>
    <w:rsid w:val="001257FA"/>
    <w:rsid w:val="00125FE9"/>
    <w:rsid w:val="001302D5"/>
    <w:rsid w:val="00134527"/>
    <w:rsid w:val="001435A3"/>
    <w:rsid w:val="001436FE"/>
    <w:rsid w:val="00144AC0"/>
    <w:rsid w:val="0015279C"/>
    <w:rsid w:val="001528A2"/>
    <w:rsid w:val="00153238"/>
    <w:rsid w:val="0015465B"/>
    <w:rsid w:val="00157066"/>
    <w:rsid w:val="00160FB3"/>
    <w:rsid w:val="001642CA"/>
    <w:rsid w:val="001653A3"/>
    <w:rsid w:val="00173B1F"/>
    <w:rsid w:val="00173F34"/>
    <w:rsid w:val="0017456D"/>
    <w:rsid w:val="001778EA"/>
    <w:rsid w:val="00177C6A"/>
    <w:rsid w:val="00180D91"/>
    <w:rsid w:val="001843CF"/>
    <w:rsid w:val="001871F5"/>
    <w:rsid w:val="00191ADF"/>
    <w:rsid w:val="00191CD0"/>
    <w:rsid w:val="00194255"/>
    <w:rsid w:val="00195442"/>
    <w:rsid w:val="00196B62"/>
    <w:rsid w:val="001970EB"/>
    <w:rsid w:val="001A0775"/>
    <w:rsid w:val="001A1B5E"/>
    <w:rsid w:val="001A44EE"/>
    <w:rsid w:val="001A59C6"/>
    <w:rsid w:val="001A5A43"/>
    <w:rsid w:val="001A5A52"/>
    <w:rsid w:val="001A6AD9"/>
    <w:rsid w:val="001B7ADF"/>
    <w:rsid w:val="001B7BCC"/>
    <w:rsid w:val="001C1C51"/>
    <w:rsid w:val="001C2132"/>
    <w:rsid w:val="001C30A4"/>
    <w:rsid w:val="001C3448"/>
    <w:rsid w:val="001C398A"/>
    <w:rsid w:val="001D0005"/>
    <w:rsid w:val="001D2345"/>
    <w:rsid w:val="001D347C"/>
    <w:rsid w:val="001D52A6"/>
    <w:rsid w:val="001D712F"/>
    <w:rsid w:val="001E018A"/>
    <w:rsid w:val="001E25F5"/>
    <w:rsid w:val="001E55AA"/>
    <w:rsid w:val="001E57E8"/>
    <w:rsid w:val="001E5C35"/>
    <w:rsid w:val="001E68A9"/>
    <w:rsid w:val="001E6C50"/>
    <w:rsid w:val="001E718F"/>
    <w:rsid w:val="001F1F1D"/>
    <w:rsid w:val="001F2A0D"/>
    <w:rsid w:val="001F3D46"/>
    <w:rsid w:val="001F5266"/>
    <w:rsid w:val="001F735E"/>
    <w:rsid w:val="00203263"/>
    <w:rsid w:val="002038E3"/>
    <w:rsid w:val="002060C0"/>
    <w:rsid w:val="002110DF"/>
    <w:rsid w:val="00212074"/>
    <w:rsid w:val="0022172C"/>
    <w:rsid w:val="00232B0A"/>
    <w:rsid w:val="00233C4C"/>
    <w:rsid w:val="00235945"/>
    <w:rsid w:val="00235C58"/>
    <w:rsid w:val="002426DA"/>
    <w:rsid w:val="002442D8"/>
    <w:rsid w:val="00246595"/>
    <w:rsid w:val="002470FC"/>
    <w:rsid w:val="00251D2B"/>
    <w:rsid w:val="00254866"/>
    <w:rsid w:val="00255100"/>
    <w:rsid w:val="00261048"/>
    <w:rsid w:val="00264033"/>
    <w:rsid w:val="00264AD2"/>
    <w:rsid w:val="00265014"/>
    <w:rsid w:val="0027163A"/>
    <w:rsid w:val="0027244C"/>
    <w:rsid w:val="00272494"/>
    <w:rsid w:val="0027272C"/>
    <w:rsid w:val="00272EEB"/>
    <w:rsid w:val="00272FF6"/>
    <w:rsid w:val="00274F9A"/>
    <w:rsid w:val="00276D1B"/>
    <w:rsid w:val="00277485"/>
    <w:rsid w:val="00280807"/>
    <w:rsid w:val="0028142D"/>
    <w:rsid w:val="002817EC"/>
    <w:rsid w:val="0028684A"/>
    <w:rsid w:val="00290DE1"/>
    <w:rsid w:val="0029122E"/>
    <w:rsid w:val="0029219E"/>
    <w:rsid w:val="0029228B"/>
    <w:rsid w:val="00292D66"/>
    <w:rsid w:val="00293886"/>
    <w:rsid w:val="00293B72"/>
    <w:rsid w:val="002A2B95"/>
    <w:rsid w:val="002A3E94"/>
    <w:rsid w:val="002B0676"/>
    <w:rsid w:val="002B106B"/>
    <w:rsid w:val="002B38DC"/>
    <w:rsid w:val="002B46DC"/>
    <w:rsid w:val="002B4701"/>
    <w:rsid w:val="002B6E38"/>
    <w:rsid w:val="002C2995"/>
    <w:rsid w:val="002C2CF2"/>
    <w:rsid w:val="002C5F34"/>
    <w:rsid w:val="002C7F66"/>
    <w:rsid w:val="002D1C8F"/>
    <w:rsid w:val="002D1E7B"/>
    <w:rsid w:val="002D43CD"/>
    <w:rsid w:val="002D50C3"/>
    <w:rsid w:val="002D5F42"/>
    <w:rsid w:val="002E12C5"/>
    <w:rsid w:val="002E2036"/>
    <w:rsid w:val="002E233D"/>
    <w:rsid w:val="002E2DCF"/>
    <w:rsid w:val="002E3395"/>
    <w:rsid w:val="002E66BD"/>
    <w:rsid w:val="002E7678"/>
    <w:rsid w:val="002F3687"/>
    <w:rsid w:val="00300AD8"/>
    <w:rsid w:val="0030161A"/>
    <w:rsid w:val="00301D23"/>
    <w:rsid w:val="003052A8"/>
    <w:rsid w:val="0031072C"/>
    <w:rsid w:val="00316477"/>
    <w:rsid w:val="00320ED1"/>
    <w:rsid w:val="00321D76"/>
    <w:rsid w:val="003240BB"/>
    <w:rsid w:val="00324469"/>
    <w:rsid w:val="00325102"/>
    <w:rsid w:val="003259BB"/>
    <w:rsid w:val="00330B5B"/>
    <w:rsid w:val="00333652"/>
    <w:rsid w:val="003337A9"/>
    <w:rsid w:val="00334B6E"/>
    <w:rsid w:val="00340D40"/>
    <w:rsid w:val="003471FD"/>
    <w:rsid w:val="0035065B"/>
    <w:rsid w:val="00351C8E"/>
    <w:rsid w:val="0035416C"/>
    <w:rsid w:val="00357C70"/>
    <w:rsid w:val="0036275A"/>
    <w:rsid w:val="00363E11"/>
    <w:rsid w:val="003706E2"/>
    <w:rsid w:val="00375D6B"/>
    <w:rsid w:val="00375F8D"/>
    <w:rsid w:val="003848A8"/>
    <w:rsid w:val="00384BBB"/>
    <w:rsid w:val="00385314"/>
    <w:rsid w:val="003862FD"/>
    <w:rsid w:val="00386EC0"/>
    <w:rsid w:val="00387738"/>
    <w:rsid w:val="00387B91"/>
    <w:rsid w:val="00390880"/>
    <w:rsid w:val="00390974"/>
    <w:rsid w:val="00392414"/>
    <w:rsid w:val="00392475"/>
    <w:rsid w:val="00392478"/>
    <w:rsid w:val="0039407A"/>
    <w:rsid w:val="00394446"/>
    <w:rsid w:val="003951BB"/>
    <w:rsid w:val="00395798"/>
    <w:rsid w:val="00396843"/>
    <w:rsid w:val="003A0EA6"/>
    <w:rsid w:val="003A3109"/>
    <w:rsid w:val="003B1001"/>
    <w:rsid w:val="003B5D2A"/>
    <w:rsid w:val="003B7682"/>
    <w:rsid w:val="003C4793"/>
    <w:rsid w:val="003C736E"/>
    <w:rsid w:val="003C7487"/>
    <w:rsid w:val="003D1F27"/>
    <w:rsid w:val="003D41A7"/>
    <w:rsid w:val="003D684F"/>
    <w:rsid w:val="003D785F"/>
    <w:rsid w:val="003E0956"/>
    <w:rsid w:val="003E39CD"/>
    <w:rsid w:val="003E4A17"/>
    <w:rsid w:val="003E4B47"/>
    <w:rsid w:val="003E5907"/>
    <w:rsid w:val="003F0404"/>
    <w:rsid w:val="003F4234"/>
    <w:rsid w:val="003F56F1"/>
    <w:rsid w:val="003F5B67"/>
    <w:rsid w:val="00400010"/>
    <w:rsid w:val="004002DC"/>
    <w:rsid w:val="004007D7"/>
    <w:rsid w:val="004043EA"/>
    <w:rsid w:val="0041154C"/>
    <w:rsid w:val="00411F15"/>
    <w:rsid w:val="00414086"/>
    <w:rsid w:val="00415C80"/>
    <w:rsid w:val="004173C6"/>
    <w:rsid w:val="00417B77"/>
    <w:rsid w:val="00417EC2"/>
    <w:rsid w:val="004207ED"/>
    <w:rsid w:val="00421BE5"/>
    <w:rsid w:val="0042314C"/>
    <w:rsid w:val="00423845"/>
    <w:rsid w:val="0042648F"/>
    <w:rsid w:val="00426FCB"/>
    <w:rsid w:val="00427361"/>
    <w:rsid w:val="004302D2"/>
    <w:rsid w:val="0043223B"/>
    <w:rsid w:val="00433F79"/>
    <w:rsid w:val="004356FF"/>
    <w:rsid w:val="00440444"/>
    <w:rsid w:val="00443229"/>
    <w:rsid w:val="00446121"/>
    <w:rsid w:val="004500CC"/>
    <w:rsid w:val="004511D1"/>
    <w:rsid w:val="00454D64"/>
    <w:rsid w:val="00456349"/>
    <w:rsid w:val="004570D6"/>
    <w:rsid w:val="00461945"/>
    <w:rsid w:val="00461E16"/>
    <w:rsid w:val="00462FCF"/>
    <w:rsid w:val="00464C0E"/>
    <w:rsid w:val="00465154"/>
    <w:rsid w:val="00465D91"/>
    <w:rsid w:val="00465DE0"/>
    <w:rsid w:val="00467527"/>
    <w:rsid w:val="00467C7D"/>
    <w:rsid w:val="00470579"/>
    <w:rsid w:val="004718B8"/>
    <w:rsid w:val="00471D6C"/>
    <w:rsid w:val="004724F6"/>
    <w:rsid w:val="004728CC"/>
    <w:rsid w:val="0047314B"/>
    <w:rsid w:val="00473619"/>
    <w:rsid w:val="00473810"/>
    <w:rsid w:val="00473A95"/>
    <w:rsid w:val="00481A23"/>
    <w:rsid w:val="00484088"/>
    <w:rsid w:val="00485CAB"/>
    <w:rsid w:val="004865DD"/>
    <w:rsid w:val="00491A97"/>
    <w:rsid w:val="00493613"/>
    <w:rsid w:val="004943A8"/>
    <w:rsid w:val="00495E8B"/>
    <w:rsid w:val="004971A3"/>
    <w:rsid w:val="00497B7D"/>
    <w:rsid w:val="004A2511"/>
    <w:rsid w:val="004A5011"/>
    <w:rsid w:val="004A7D46"/>
    <w:rsid w:val="004A7F85"/>
    <w:rsid w:val="004B02E9"/>
    <w:rsid w:val="004B652C"/>
    <w:rsid w:val="004B6EA3"/>
    <w:rsid w:val="004C1CC5"/>
    <w:rsid w:val="004C419F"/>
    <w:rsid w:val="004C4B89"/>
    <w:rsid w:val="004D08DD"/>
    <w:rsid w:val="004D2814"/>
    <w:rsid w:val="004D3DC2"/>
    <w:rsid w:val="004D4017"/>
    <w:rsid w:val="004D6B1A"/>
    <w:rsid w:val="004E0C4C"/>
    <w:rsid w:val="004E281C"/>
    <w:rsid w:val="004E48A8"/>
    <w:rsid w:val="004E5115"/>
    <w:rsid w:val="004E6AE4"/>
    <w:rsid w:val="004F09C7"/>
    <w:rsid w:val="004F25E4"/>
    <w:rsid w:val="004F4E46"/>
    <w:rsid w:val="004F65A8"/>
    <w:rsid w:val="00501F6C"/>
    <w:rsid w:val="00511792"/>
    <w:rsid w:val="00512E6B"/>
    <w:rsid w:val="00517FE1"/>
    <w:rsid w:val="0052686F"/>
    <w:rsid w:val="00527175"/>
    <w:rsid w:val="00530F0B"/>
    <w:rsid w:val="00533557"/>
    <w:rsid w:val="00536706"/>
    <w:rsid w:val="00540139"/>
    <w:rsid w:val="00542EC4"/>
    <w:rsid w:val="00543DD0"/>
    <w:rsid w:val="00544C8D"/>
    <w:rsid w:val="00544ED6"/>
    <w:rsid w:val="0054598B"/>
    <w:rsid w:val="00550284"/>
    <w:rsid w:val="005517CE"/>
    <w:rsid w:val="0055288D"/>
    <w:rsid w:val="0055328C"/>
    <w:rsid w:val="00554565"/>
    <w:rsid w:val="00554C58"/>
    <w:rsid w:val="00561A61"/>
    <w:rsid w:val="00563403"/>
    <w:rsid w:val="00566809"/>
    <w:rsid w:val="00567784"/>
    <w:rsid w:val="00571B99"/>
    <w:rsid w:val="005764FA"/>
    <w:rsid w:val="00582408"/>
    <w:rsid w:val="005842A3"/>
    <w:rsid w:val="00584373"/>
    <w:rsid w:val="00585268"/>
    <w:rsid w:val="00585A12"/>
    <w:rsid w:val="005902A3"/>
    <w:rsid w:val="00592178"/>
    <w:rsid w:val="00593B66"/>
    <w:rsid w:val="005946AA"/>
    <w:rsid w:val="00595609"/>
    <w:rsid w:val="00595CC0"/>
    <w:rsid w:val="005963C2"/>
    <w:rsid w:val="005A0028"/>
    <w:rsid w:val="005A2C5B"/>
    <w:rsid w:val="005A6BE1"/>
    <w:rsid w:val="005B0C89"/>
    <w:rsid w:val="005B1892"/>
    <w:rsid w:val="005B6853"/>
    <w:rsid w:val="005B6C3A"/>
    <w:rsid w:val="005B786B"/>
    <w:rsid w:val="005C5058"/>
    <w:rsid w:val="005C68AD"/>
    <w:rsid w:val="005D02FC"/>
    <w:rsid w:val="005D037A"/>
    <w:rsid w:val="005D1C2B"/>
    <w:rsid w:val="005D3C3F"/>
    <w:rsid w:val="005D5D95"/>
    <w:rsid w:val="005D6A5B"/>
    <w:rsid w:val="005D7C8A"/>
    <w:rsid w:val="005E2359"/>
    <w:rsid w:val="005E4EFF"/>
    <w:rsid w:val="005F00B1"/>
    <w:rsid w:val="005F0224"/>
    <w:rsid w:val="005F42A7"/>
    <w:rsid w:val="006002A2"/>
    <w:rsid w:val="00600C6C"/>
    <w:rsid w:val="006013E3"/>
    <w:rsid w:val="00604CA2"/>
    <w:rsid w:val="00605F37"/>
    <w:rsid w:val="00606381"/>
    <w:rsid w:val="00615816"/>
    <w:rsid w:val="00620840"/>
    <w:rsid w:val="00621B69"/>
    <w:rsid w:val="006242D2"/>
    <w:rsid w:val="00624CE0"/>
    <w:rsid w:val="00625392"/>
    <w:rsid w:val="006263E4"/>
    <w:rsid w:val="00627318"/>
    <w:rsid w:val="00627D8B"/>
    <w:rsid w:val="00630EF0"/>
    <w:rsid w:val="00634C5E"/>
    <w:rsid w:val="00641059"/>
    <w:rsid w:val="00650094"/>
    <w:rsid w:val="00650976"/>
    <w:rsid w:val="00655021"/>
    <w:rsid w:val="00656E90"/>
    <w:rsid w:val="00662D55"/>
    <w:rsid w:val="0066357C"/>
    <w:rsid w:val="00664617"/>
    <w:rsid w:val="00664811"/>
    <w:rsid w:val="006655F1"/>
    <w:rsid w:val="00665B07"/>
    <w:rsid w:val="0067004E"/>
    <w:rsid w:val="0067798C"/>
    <w:rsid w:val="006779AD"/>
    <w:rsid w:val="00681F98"/>
    <w:rsid w:val="00682854"/>
    <w:rsid w:val="00684898"/>
    <w:rsid w:val="00687610"/>
    <w:rsid w:val="00694078"/>
    <w:rsid w:val="0069513A"/>
    <w:rsid w:val="00696A28"/>
    <w:rsid w:val="006A4B35"/>
    <w:rsid w:val="006A57E1"/>
    <w:rsid w:val="006A6B1B"/>
    <w:rsid w:val="006A789A"/>
    <w:rsid w:val="006B1087"/>
    <w:rsid w:val="006B2B70"/>
    <w:rsid w:val="006B2D47"/>
    <w:rsid w:val="006B39C5"/>
    <w:rsid w:val="006B3AC8"/>
    <w:rsid w:val="006B49FE"/>
    <w:rsid w:val="006B59C0"/>
    <w:rsid w:val="006C068E"/>
    <w:rsid w:val="006C1A1D"/>
    <w:rsid w:val="006C2830"/>
    <w:rsid w:val="006C49AC"/>
    <w:rsid w:val="006C4A82"/>
    <w:rsid w:val="006C504C"/>
    <w:rsid w:val="006C56FF"/>
    <w:rsid w:val="006D0BC4"/>
    <w:rsid w:val="006D11F6"/>
    <w:rsid w:val="006D244F"/>
    <w:rsid w:val="006D2A3F"/>
    <w:rsid w:val="006D2E34"/>
    <w:rsid w:val="006D4864"/>
    <w:rsid w:val="006D50B4"/>
    <w:rsid w:val="006E5522"/>
    <w:rsid w:val="006E59DB"/>
    <w:rsid w:val="006E7F51"/>
    <w:rsid w:val="006F4311"/>
    <w:rsid w:val="006F5D3D"/>
    <w:rsid w:val="006F5EEC"/>
    <w:rsid w:val="007014B4"/>
    <w:rsid w:val="00701628"/>
    <w:rsid w:val="00701D42"/>
    <w:rsid w:val="007020CF"/>
    <w:rsid w:val="00705680"/>
    <w:rsid w:val="00710D4F"/>
    <w:rsid w:val="00712346"/>
    <w:rsid w:val="00712922"/>
    <w:rsid w:val="0071408D"/>
    <w:rsid w:val="00726288"/>
    <w:rsid w:val="00726728"/>
    <w:rsid w:val="007274B4"/>
    <w:rsid w:val="00727EA9"/>
    <w:rsid w:val="0073042C"/>
    <w:rsid w:val="00730758"/>
    <w:rsid w:val="00730DEB"/>
    <w:rsid w:val="00731D14"/>
    <w:rsid w:val="00732BF4"/>
    <w:rsid w:val="00735222"/>
    <w:rsid w:val="00740A73"/>
    <w:rsid w:val="00741399"/>
    <w:rsid w:val="00741F9B"/>
    <w:rsid w:val="007422C5"/>
    <w:rsid w:val="00742B7A"/>
    <w:rsid w:val="00745DDB"/>
    <w:rsid w:val="00747D6B"/>
    <w:rsid w:val="00750246"/>
    <w:rsid w:val="0075108F"/>
    <w:rsid w:val="00752D51"/>
    <w:rsid w:val="00757423"/>
    <w:rsid w:val="00760C6C"/>
    <w:rsid w:val="0076476A"/>
    <w:rsid w:val="007721D1"/>
    <w:rsid w:val="0077371D"/>
    <w:rsid w:val="007756DF"/>
    <w:rsid w:val="00775821"/>
    <w:rsid w:val="00775C6F"/>
    <w:rsid w:val="0077D39D"/>
    <w:rsid w:val="00780302"/>
    <w:rsid w:val="00780DC3"/>
    <w:rsid w:val="0078210D"/>
    <w:rsid w:val="0078270D"/>
    <w:rsid w:val="00785945"/>
    <w:rsid w:val="0078799C"/>
    <w:rsid w:val="00792E6A"/>
    <w:rsid w:val="00793C66"/>
    <w:rsid w:val="00796A8E"/>
    <w:rsid w:val="00797818"/>
    <w:rsid w:val="00797F30"/>
    <w:rsid w:val="007A0B2B"/>
    <w:rsid w:val="007A28FA"/>
    <w:rsid w:val="007A4523"/>
    <w:rsid w:val="007A538E"/>
    <w:rsid w:val="007A74F4"/>
    <w:rsid w:val="007A751A"/>
    <w:rsid w:val="007B5A70"/>
    <w:rsid w:val="007C5EC3"/>
    <w:rsid w:val="007D046E"/>
    <w:rsid w:val="007D0B2B"/>
    <w:rsid w:val="007D2AE7"/>
    <w:rsid w:val="007D3446"/>
    <w:rsid w:val="007D6967"/>
    <w:rsid w:val="007D768C"/>
    <w:rsid w:val="007D7830"/>
    <w:rsid w:val="007E095F"/>
    <w:rsid w:val="007E0A54"/>
    <w:rsid w:val="007E3909"/>
    <w:rsid w:val="007E4D88"/>
    <w:rsid w:val="007E6612"/>
    <w:rsid w:val="007F02D6"/>
    <w:rsid w:val="007F2498"/>
    <w:rsid w:val="007F2A4C"/>
    <w:rsid w:val="007F7CF8"/>
    <w:rsid w:val="00800BD4"/>
    <w:rsid w:val="00807C81"/>
    <w:rsid w:val="0081072E"/>
    <w:rsid w:val="00812209"/>
    <w:rsid w:val="00826B8F"/>
    <w:rsid w:val="00830C1D"/>
    <w:rsid w:val="0083339A"/>
    <w:rsid w:val="0083485C"/>
    <w:rsid w:val="008368F5"/>
    <w:rsid w:val="00842D6E"/>
    <w:rsid w:val="008443BE"/>
    <w:rsid w:val="00847440"/>
    <w:rsid w:val="00850E55"/>
    <w:rsid w:val="0085324B"/>
    <w:rsid w:val="008549FE"/>
    <w:rsid w:val="00854A5A"/>
    <w:rsid w:val="008600AE"/>
    <w:rsid w:val="00865978"/>
    <w:rsid w:val="00865B0F"/>
    <w:rsid w:val="00867663"/>
    <w:rsid w:val="00867664"/>
    <w:rsid w:val="00872194"/>
    <w:rsid w:val="008775B5"/>
    <w:rsid w:val="00880045"/>
    <w:rsid w:val="0088068A"/>
    <w:rsid w:val="00884655"/>
    <w:rsid w:val="00884805"/>
    <w:rsid w:val="00884A3E"/>
    <w:rsid w:val="00887C33"/>
    <w:rsid w:val="00890693"/>
    <w:rsid w:val="00891C9E"/>
    <w:rsid w:val="00893420"/>
    <w:rsid w:val="008961E4"/>
    <w:rsid w:val="00896C5E"/>
    <w:rsid w:val="008A2547"/>
    <w:rsid w:val="008A476C"/>
    <w:rsid w:val="008A4AD5"/>
    <w:rsid w:val="008A4CF1"/>
    <w:rsid w:val="008A72F0"/>
    <w:rsid w:val="008B56C9"/>
    <w:rsid w:val="008B60BE"/>
    <w:rsid w:val="008C3706"/>
    <w:rsid w:val="008D0C6C"/>
    <w:rsid w:val="008D2A23"/>
    <w:rsid w:val="008D582A"/>
    <w:rsid w:val="008D63D2"/>
    <w:rsid w:val="008D7E72"/>
    <w:rsid w:val="008E1302"/>
    <w:rsid w:val="008E1646"/>
    <w:rsid w:val="008E29BF"/>
    <w:rsid w:val="008E5EA0"/>
    <w:rsid w:val="008E7EB4"/>
    <w:rsid w:val="008F0DE4"/>
    <w:rsid w:val="008F1D6F"/>
    <w:rsid w:val="008F256E"/>
    <w:rsid w:val="008F44A2"/>
    <w:rsid w:val="008F591F"/>
    <w:rsid w:val="008F71DE"/>
    <w:rsid w:val="0090090E"/>
    <w:rsid w:val="00900ACD"/>
    <w:rsid w:val="009010E4"/>
    <w:rsid w:val="00901A92"/>
    <w:rsid w:val="0090259A"/>
    <w:rsid w:val="009036CC"/>
    <w:rsid w:val="00907D62"/>
    <w:rsid w:val="00910E24"/>
    <w:rsid w:val="00912902"/>
    <w:rsid w:val="009130C3"/>
    <w:rsid w:val="00913207"/>
    <w:rsid w:val="00917AC5"/>
    <w:rsid w:val="0092536F"/>
    <w:rsid w:val="00932C92"/>
    <w:rsid w:val="00933397"/>
    <w:rsid w:val="00933F71"/>
    <w:rsid w:val="00934451"/>
    <w:rsid w:val="009344B6"/>
    <w:rsid w:val="00935078"/>
    <w:rsid w:val="00936311"/>
    <w:rsid w:val="00941AED"/>
    <w:rsid w:val="009422F3"/>
    <w:rsid w:val="00943A3D"/>
    <w:rsid w:val="00944309"/>
    <w:rsid w:val="00944E49"/>
    <w:rsid w:val="00950984"/>
    <w:rsid w:val="00950A04"/>
    <w:rsid w:val="00950DCC"/>
    <w:rsid w:val="00954D81"/>
    <w:rsid w:val="00961012"/>
    <w:rsid w:val="009624CE"/>
    <w:rsid w:val="009660BA"/>
    <w:rsid w:val="009661F6"/>
    <w:rsid w:val="009709DE"/>
    <w:rsid w:val="00973CD9"/>
    <w:rsid w:val="009746E7"/>
    <w:rsid w:val="0097665A"/>
    <w:rsid w:val="00976B37"/>
    <w:rsid w:val="0098129D"/>
    <w:rsid w:val="009814F6"/>
    <w:rsid w:val="00983131"/>
    <w:rsid w:val="00983BF7"/>
    <w:rsid w:val="00985CA6"/>
    <w:rsid w:val="00986DC1"/>
    <w:rsid w:val="00987317"/>
    <w:rsid w:val="00992573"/>
    <w:rsid w:val="00993A88"/>
    <w:rsid w:val="00994E29"/>
    <w:rsid w:val="00996F1C"/>
    <w:rsid w:val="0099787B"/>
    <w:rsid w:val="009A11EF"/>
    <w:rsid w:val="009A3FC3"/>
    <w:rsid w:val="009A4ECE"/>
    <w:rsid w:val="009A5E2F"/>
    <w:rsid w:val="009A675D"/>
    <w:rsid w:val="009B525D"/>
    <w:rsid w:val="009B5A08"/>
    <w:rsid w:val="009B7703"/>
    <w:rsid w:val="009C48E2"/>
    <w:rsid w:val="009C697B"/>
    <w:rsid w:val="009C719D"/>
    <w:rsid w:val="009D127D"/>
    <w:rsid w:val="009D6D3B"/>
    <w:rsid w:val="009D7348"/>
    <w:rsid w:val="009E47DC"/>
    <w:rsid w:val="009E6344"/>
    <w:rsid w:val="009E6612"/>
    <w:rsid w:val="009F2D9F"/>
    <w:rsid w:val="009F325D"/>
    <w:rsid w:val="009F6392"/>
    <w:rsid w:val="00A0058E"/>
    <w:rsid w:val="00A03D50"/>
    <w:rsid w:val="00A04A79"/>
    <w:rsid w:val="00A06170"/>
    <w:rsid w:val="00A06AB5"/>
    <w:rsid w:val="00A1069B"/>
    <w:rsid w:val="00A111F4"/>
    <w:rsid w:val="00A112DB"/>
    <w:rsid w:val="00A1221F"/>
    <w:rsid w:val="00A12A40"/>
    <w:rsid w:val="00A1565F"/>
    <w:rsid w:val="00A162DA"/>
    <w:rsid w:val="00A17EFC"/>
    <w:rsid w:val="00A20A27"/>
    <w:rsid w:val="00A21579"/>
    <w:rsid w:val="00A216F5"/>
    <w:rsid w:val="00A2257F"/>
    <w:rsid w:val="00A23FB2"/>
    <w:rsid w:val="00A25DDB"/>
    <w:rsid w:val="00A261CF"/>
    <w:rsid w:val="00A31E02"/>
    <w:rsid w:val="00A31F9A"/>
    <w:rsid w:val="00A32118"/>
    <w:rsid w:val="00A32A47"/>
    <w:rsid w:val="00A336B6"/>
    <w:rsid w:val="00A34B15"/>
    <w:rsid w:val="00A37C03"/>
    <w:rsid w:val="00A400E5"/>
    <w:rsid w:val="00A407A3"/>
    <w:rsid w:val="00A43388"/>
    <w:rsid w:val="00A461E7"/>
    <w:rsid w:val="00A46C30"/>
    <w:rsid w:val="00A47D09"/>
    <w:rsid w:val="00A50B45"/>
    <w:rsid w:val="00A52CE9"/>
    <w:rsid w:val="00A53B52"/>
    <w:rsid w:val="00A545CC"/>
    <w:rsid w:val="00A6140A"/>
    <w:rsid w:val="00A61E22"/>
    <w:rsid w:val="00A624A4"/>
    <w:rsid w:val="00A65485"/>
    <w:rsid w:val="00A65A6D"/>
    <w:rsid w:val="00A65EA2"/>
    <w:rsid w:val="00A66F91"/>
    <w:rsid w:val="00A67E6A"/>
    <w:rsid w:val="00A718D3"/>
    <w:rsid w:val="00A71E10"/>
    <w:rsid w:val="00A72506"/>
    <w:rsid w:val="00A76E4E"/>
    <w:rsid w:val="00A814F4"/>
    <w:rsid w:val="00A81A8F"/>
    <w:rsid w:val="00A81CE5"/>
    <w:rsid w:val="00A85E0D"/>
    <w:rsid w:val="00A873A7"/>
    <w:rsid w:val="00AA0224"/>
    <w:rsid w:val="00AA272A"/>
    <w:rsid w:val="00AA454B"/>
    <w:rsid w:val="00AA7489"/>
    <w:rsid w:val="00AB1F1E"/>
    <w:rsid w:val="00AB2DE5"/>
    <w:rsid w:val="00AB6F05"/>
    <w:rsid w:val="00AB7791"/>
    <w:rsid w:val="00AC05C6"/>
    <w:rsid w:val="00AC0F01"/>
    <w:rsid w:val="00AC3A47"/>
    <w:rsid w:val="00AC483E"/>
    <w:rsid w:val="00AC689B"/>
    <w:rsid w:val="00AD0FA6"/>
    <w:rsid w:val="00AD47FA"/>
    <w:rsid w:val="00AD5534"/>
    <w:rsid w:val="00AE0ABD"/>
    <w:rsid w:val="00AE3323"/>
    <w:rsid w:val="00AE3A9A"/>
    <w:rsid w:val="00AE58BA"/>
    <w:rsid w:val="00AE6D74"/>
    <w:rsid w:val="00AF1984"/>
    <w:rsid w:val="00AF2A8A"/>
    <w:rsid w:val="00AF2E2D"/>
    <w:rsid w:val="00AF4522"/>
    <w:rsid w:val="00AF5E9B"/>
    <w:rsid w:val="00AF69CE"/>
    <w:rsid w:val="00AF7DC7"/>
    <w:rsid w:val="00B0138E"/>
    <w:rsid w:val="00B029B0"/>
    <w:rsid w:val="00B043FC"/>
    <w:rsid w:val="00B05B43"/>
    <w:rsid w:val="00B06C01"/>
    <w:rsid w:val="00B1262F"/>
    <w:rsid w:val="00B13D30"/>
    <w:rsid w:val="00B164B5"/>
    <w:rsid w:val="00B17CD6"/>
    <w:rsid w:val="00B31529"/>
    <w:rsid w:val="00B319D3"/>
    <w:rsid w:val="00B37D49"/>
    <w:rsid w:val="00B43312"/>
    <w:rsid w:val="00B4475B"/>
    <w:rsid w:val="00B460E6"/>
    <w:rsid w:val="00B50C9C"/>
    <w:rsid w:val="00B51064"/>
    <w:rsid w:val="00B5440B"/>
    <w:rsid w:val="00B552A4"/>
    <w:rsid w:val="00B60755"/>
    <w:rsid w:val="00B62484"/>
    <w:rsid w:val="00B6457A"/>
    <w:rsid w:val="00B65BF7"/>
    <w:rsid w:val="00B674EC"/>
    <w:rsid w:val="00B7025D"/>
    <w:rsid w:val="00B7030F"/>
    <w:rsid w:val="00B71028"/>
    <w:rsid w:val="00B7269B"/>
    <w:rsid w:val="00B72A3A"/>
    <w:rsid w:val="00B72E41"/>
    <w:rsid w:val="00B745AB"/>
    <w:rsid w:val="00B8056E"/>
    <w:rsid w:val="00B80661"/>
    <w:rsid w:val="00B911D3"/>
    <w:rsid w:val="00B9163F"/>
    <w:rsid w:val="00B91F97"/>
    <w:rsid w:val="00B93C8C"/>
    <w:rsid w:val="00B93F26"/>
    <w:rsid w:val="00B946EB"/>
    <w:rsid w:val="00BA28A4"/>
    <w:rsid w:val="00BA2D1F"/>
    <w:rsid w:val="00BA432F"/>
    <w:rsid w:val="00BA4728"/>
    <w:rsid w:val="00BA6640"/>
    <w:rsid w:val="00BA6BE2"/>
    <w:rsid w:val="00BB12E8"/>
    <w:rsid w:val="00BB16AC"/>
    <w:rsid w:val="00BB3094"/>
    <w:rsid w:val="00BB5577"/>
    <w:rsid w:val="00BB6B4D"/>
    <w:rsid w:val="00BC089B"/>
    <w:rsid w:val="00BC0B9F"/>
    <w:rsid w:val="00BC0C6D"/>
    <w:rsid w:val="00BC1074"/>
    <w:rsid w:val="00BC69BE"/>
    <w:rsid w:val="00BD4407"/>
    <w:rsid w:val="00BD53B9"/>
    <w:rsid w:val="00BE10B3"/>
    <w:rsid w:val="00BE12BB"/>
    <w:rsid w:val="00BE166C"/>
    <w:rsid w:val="00BE1A20"/>
    <w:rsid w:val="00BE444F"/>
    <w:rsid w:val="00BE56D3"/>
    <w:rsid w:val="00BE6139"/>
    <w:rsid w:val="00BF117E"/>
    <w:rsid w:val="00BF2DD1"/>
    <w:rsid w:val="00BF41A9"/>
    <w:rsid w:val="00BF4946"/>
    <w:rsid w:val="00C05470"/>
    <w:rsid w:val="00C05E3E"/>
    <w:rsid w:val="00C13107"/>
    <w:rsid w:val="00C141B3"/>
    <w:rsid w:val="00C15620"/>
    <w:rsid w:val="00C16221"/>
    <w:rsid w:val="00C16614"/>
    <w:rsid w:val="00C209A3"/>
    <w:rsid w:val="00C20AC9"/>
    <w:rsid w:val="00C22639"/>
    <w:rsid w:val="00C23551"/>
    <w:rsid w:val="00C2443E"/>
    <w:rsid w:val="00C313B5"/>
    <w:rsid w:val="00C34A9E"/>
    <w:rsid w:val="00C35C88"/>
    <w:rsid w:val="00C45BE9"/>
    <w:rsid w:val="00C469C4"/>
    <w:rsid w:val="00C47D1D"/>
    <w:rsid w:val="00C47EAE"/>
    <w:rsid w:val="00C563D4"/>
    <w:rsid w:val="00C64866"/>
    <w:rsid w:val="00C66752"/>
    <w:rsid w:val="00C67364"/>
    <w:rsid w:val="00C676E2"/>
    <w:rsid w:val="00C709AB"/>
    <w:rsid w:val="00C71C83"/>
    <w:rsid w:val="00C750F2"/>
    <w:rsid w:val="00C763FD"/>
    <w:rsid w:val="00C76443"/>
    <w:rsid w:val="00C77155"/>
    <w:rsid w:val="00C777C4"/>
    <w:rsid w:val="00C84A94"/>
    <w:rsid w:val="00C861E4"/>
    <w:rsid w:val="00C86F43"/>
    <w:rsid w:val="00C901C5"/>
    <w:rsid w:val="00C94D96"/>
    <w:rsid w:val="00C955AB"/>
    <w:rsid w:val="00C971D7"/>
    <w:rsid w:val="00CA16F4"/>
    <w:rsid w:val="00CA6578"/>
    <w:rsid w:val="00CC3560"/>
    <w:rsid w:val="00CD2888"/>
    <w:rsid w:val="00CD32E3"/>
    <w:rsid w:val="00CD35E6"/>
    <w:rsid w:val="00CD5811"/>
    <w:rsid w:val="00CE3BFF"/>
    <w:rsid w:val="00CE5A44"/>
    <w:rsid w:val="00CE78ED"/>
    <w:rsid w:val="00CF7212"/>
    <w:rsid w:val="00D010FB"/>
    <w:rsid w:val="00D01665"/>
    <w:rsid w:val="00D0205B"/>
    <w:rsid w:val="00D056AD"/>
    <w:rsid w:val="00D0660E"/>
    <w:rsid w:val="00D100AC"/>
    <w:rsid w:val="00D11413"/>
    <w:rsid w:val="00D13419"/>
    <w:rsid w:val="00D1491A"/>
    <w:rsid w:val="00D16F40"/>
    <w:rsid w:val="00D248EF"/>
    <w:rsid w:val="00D273A2"/>
    <w:rsid w:val="00D30C43"/>
    <w:rsid w:val="00D35680"/>
    <w:rsid w:val="00D36B18"/>
    <w:rsid w:val="00D4567F"/>
    <w:rsid w:val="00D516E6"/>
    <w:rsid w:val="00D52A06"/>
    <w:rsid w:val="00D52BBD"/>
    <w:rsid w:val="00D537DB"/>
    <w:rsid w:val="00D551D3"/>
    <w:rsid w:val="00D5523B"/>
    <w:rsid w:val="00D56139"/>
    <w:rsid w:val="00D60B06"/>
    <w:rsid w:val="00D671BA"/>
    <w:rsid w:val="00D7283D"/>
    <w:rsid w:val="00D7318E"/>
    <w:rsid w:val="00D7377E"/>
    <w:rsid w:val="00D75AA1"/>
    <w:rsid w:val="00D827A0"/>
    <w:rsid w:val="00D830AA"/>
    <w:rsid w:val="00D845C0"/>
    <w:rsid w:val="00D93BF1"/>
    <w:rsid w:val="00D93F46"/>
    <w:rsid w:val="00D94D02"/>
    <w:rsid w:val="00D954D1"/>
    <w:rsid w:val="00D96943"/>
    <w:rsid w:val="00DA059F"/>
    <w:rsid w:val="00DA4665"/>
    <w:rsid w:val="00DA7348"/>
    <w:rsid w:val="00DB1016"/>
    <w:rsid w:val="00DB3409"/>
    <w:rsid w:val="00DB427F"/>
    <w:rsid w:val="00DB641B"/>
    <w:rsid w:val="00DB6FA4"/>
    <w:rsid w:val="00DB7949"/>
    <w:rsid w:val="00DC20F5"/>
    <w:rsid w:val="00DC417D"/>
    <w:rsid w:val="00DC5AFF"/>
    <w:rsid w:val="00DD3800"/>
    <w:rsid w:val="00DD4BA3"/>
    <w:rsid w:val="00DD66A8"/>
    <w:rsid w:val="00DE0A65"/>
    <w:rsid w:val="00DE0F36"/>
    <w:rsid w:val="00DE2CC4"/>
    <w:rsid w:val="00DE34BB"/>
    <w:rsid w:val="00DE5D08"/>
    <w:rsid w:val="00DF1F48"/>
    <w:rsid w:val="00DF246B"/>
    <w:rsid w:val="00DF62A5"/>
    <w:rsid w:val="00E01375"/>
    <w:rsid w:val="00E02DB4"/>
    <w:rsid w:val="00E11EBA"/>
    <w:rsid w:val="00E13479"/>
    <w:rsid w:val="00E137E6"/>
    <w:rsid w:val="00E17F11"/>
    <w:rsid w:val="00E22374"/>
    <w:rsid w:val="00E24CDD"/>
    <w:rsid w:val="00E252E3"/>
    <w:rsid w:val="00E25FE3"/>
    <w:rsid w:val="00E26E7E"/>
    <w:rsid w:val="00E312E7"/>
    <w:rsid w:val="00E365A1"/>
    <w:rsid w:val="00E3717C"/>
    <w:rsid w:val="00E37681"/>
    <w:rsid w:val="00E37DA1"/>
    <w:rsid w:val="00E42A63"/>
    <w:rsid w:val="00E431C7"/>
    <w:rsid w:val="00E5063C"/>
    <w:rsid w:val="00E53540"/>
    <w:rsid w:val="00E536E3"/>
    <w:rsid w:val="00E54509"/>
    <w:rsid w:val="00E55A7B"/>
    <w:rsid w:val="00E603CE"/>
    <w:rsid w:val="00E62BB2"/>
    <w:rsid w:val="00E64A34"/>
    <w:rsid w:val="00E73E13"/>
    <w:rsid w:val="00E74734"/>
    <w:rsid w:val="00E75FF2"/>
    <w:rsid w:val="00E80850"/>
    <w:rsid w:val="00E84A8A"/>
    <w:rsid w:val="00E869EF"/>
    <w:rsid w:val="00E875B3"/>
    <w:rsid w:val="00E929AD"/>
    <w:rsid w:val="00E9422D"/>
    <w:rsid w:val="00E96579"/>
    <w:rsid w:val="00EA0505"/>
    <w:rsid w:val="00EA13E0"/>
    <w:rsid w:val="00EA16E5"/>
    <w:rsid w:val="00EA36CB"/>
    <w:rsid w:val="00EA4917"/>
    <w:rsid w:val="00EA56CA"/>
    <w:rsid w:val="00EA7DFB"/>
    <w:rsid w:val="00EB0ED8"/>
    <w:rsid w:val="00EB1E51"/>
    <w:rsid w:val="00EB710D"/>
    <w:rsid w:val="00EC0A0B"/>
    <w:rsid w:val="00EC11A8"/>
    <w:rsid w:val="00EC256F"/>
    <w:rsid w:val="00EC31BB"/>
    <w:rsid w:val="00EC4232"/>
    <w:rsid w:val="00EC42D9"/>
    <w:rsid w:val="00EC5196"/>
    <w:rsid w:val="00EC5F53"/>
    <w:rsid w:val="00ED08B4"/>
    <w:rsid w:val="00ED6A96"/>
    <w:rsid w:val="00ED7F2F"/>
    <w:rsid w:val="00ED7F4D"/>
    <w:rsid w:val="00EE18DF"/>
    <w:rsid w:val="00EE1AAE"/>
    <w:rsid w:val="00EE1AEE"/>
    <w:rsid w:val="00EE52B2"/>
    <w:rsid w:val="00EE546E"/>
    <w:rsid w:val="00EE646B"/>
    <w:rsid w:val="00EE6831"/>
    <w:rsid w:val="00EF000F"/>
    <w:rsid w:val="00EF50E2"/>
    <w:rsid w:val="00EF765E"/>
    <w:rsid w:val="00EF77D1"/>
    <w:rsid w:val="00EF7C1C"/>
    <w:rsid w:val="00F105C8"/>
    <w:rsid w:val="00F10C0A"/>
    <w:rsid w:val="00F129BB"/>
    <w:rsid w:val="00F13687"/>
    <w:rsid w:val="00F16B61"/>
    <w:rsid w:val="00F1780C"/>
    <w:rsid w:val="00F238C5"/>
    <w:rsid w:val="00F24FE6"/>
    <w:rsid w:val="00F25509"/>
    <w:rsid w:val="00F30AA5"/>
    <w:rsid w:val="00F32C53"/>
    <w:rsid w:val="00F3517A"/>
    <w:rsid w:val="00F36F7B"/>
    <w:rsid w:val="00F40889"/>
    <w:rsid w:val="00F4157E"/>
    <w:rsid w:val="00F44FCA"/>
    <w:rsid w:val="00F45DFA"/>
    <w:rsid w:val="00F46E94"/>
    <w:rsid w:val="00F478B4"/>
    <w:rsid w:val="00F50C03"/>
    <w:rsid w:val="00F51FDB"/>
    <w:rsid w:val="00F5203C"/>
    <w:rsid w:val="00F52CD4"/>
    <w:rsid w:val="00F55C15"/>
    <w:rsid w:val="00F57249"/>
    <w:rsid w:val="00F60C37"/>
    <w:rsid w:val="00F62638"/>
    <w:rsid w:val="00F6757D"/>
    <w:rsid w:val="00F70927"/>
    <w:rsid w:val="00F71F77"/>
    <w:rsid w:val="00F83D2C"/>
    <w:rsid w:val="00F87573"/>
    <w:rsid w:val="00F905DE"/>
    <w:rsid w:val="00F91BDC"/>
    <w:rsid w:val="00F9568D"/>
    <w:rsid w:val="00F9793A"/>
    <w:rsid w:val="00FA0B2A"/>
    <w:rsid w:val="00FA120B"/>
    <w:rsid w:val="00FA4393"/>
    <w:rsid w:val="00FA462D"/>
    <w:rsid w:val="00FA6C8C"/>
    <w:rsid w:val="00FA6E42"/>
    <w:rsid w:val="00FB2F93"/>
    <w:rsid w:val="00FB343C"/>
    <w:rsid w:val="00FC04BE"/>
    <w:rsid w:val="00FC079E"/>
    <w:rsid w:val="00FC092A"/>
    <w:rsid w:val="00FC3BDC"/>
    <w:rsid w:val="00FC5F4B"/>
    <w:rsid w:val="00FD0273"/>
    <w:rsid w:val="00FD0A75"/>
    <w:rsid w:val="00FD1AEE"/>
    <w:rsid w:val="00FD38FB"/>
    <w:rsid w:val="00FD3E48"/>
    <w:rsid w:val="00FE0ED5"/>
    <w:rsid w:val="00FE2398"/>
    <w:rsid w:val="00FE27F6"/>
    <w:rsid w:val="00FE2B33"/>
    <w:rsid w:val="00FE43BC"/>
    <w:rsid w:val="00FE6B6B"/>
    <w:rsid w:val="00FF0BF4"/>
    <w:rsid w:val="00FF282F"/>
    <w:rsid w:val="00FF5AB4"/>
    <w:rsid w:val="00FF5AC3"/>
    <w:rsid w:val="00FF73E0"/>
    <w:rsid w:val="0104D12D"/>
    <w:rsid w:val="02357BB9"/>
    <w:rsid w:val="0286113F"/>
    <w:rsid w:val="02C43703"/>
    <w:rsid w:val="038BF6FF"/>
    <w:rsid w:val="043F38EC"/>
    <w:rsid w:val="06963598"/>
    <w:rsid w:val="071E5D0E"/>
    <w:rsid w:val="0760FC06"/>
    <w:rsid w:val="07887F20"/>
    <w:rsid w:val="08018C6F"/>
    <w:rsid w:val="08189475"/>
    <w:rsid w:val="083205F9"/>
    <w:rsid w:val="09A8033E"/>
    <w:rsid w:val="0A01D00A"/>
    <w:rsid w:val="0AF79562"/>
    <w:rsid w:val="0B1244D0"/>
    <w:rsid w:val="0BD29CCE"/>
    <w:rsid w:val="0DDE898F"/>
    <w:rsid w:val="0E0780EC"/>
    <w:rsid w:val="0E89B2CC"/>
    <w:rsid w:val="0FA6E740"/>
    <w:rsid w:val="0FFE8AD7"/>
    <w:rsid w:val="105A5BAA"/>
    <w:rsid w:val="1171C8F8"/>
    <w:rsid w:val="1250913D"/>
    <w:rsid w:val="12B2B37F"/>
    <w:rsid w:val="134F8248"/>
    <w:rsid w:val="1357F35B"/>
    <w:rsid w:val="145384E3"/>
    <w:rsid w:val="157F881A"/>
    <w:rsid w:val="1582161F"/>
    <w:rsid w:val="16EBB0A6"/>
    <w:rsid w:val="189E5514"/>
    <w:rsid w:val="18CC15B1"/>
    <w:rsid w:val="18D4C8A8"/>
    <w:rsid w:val="1A7C60F8"/>
    <w:rsid w:val="1B70BABD"/>
    <w:rsid w:val="1B824B4E"/>
    <w:rsid w:val="1D536FA8"/>
    <w:rsid w:val="1E1CFF23"/>
    <w:rsid w:val="1E990210"/>
    <w:rsid w:val="1F194086"/>
    <w:rsid w:val="1F3A0AE8"/>
    <w:rsid w:val="1F82DE5F"/>
    <w:rsid w:val="20442BE0"/>
    <w:rsid w:val="21DFFC41"/>
    <w:rsid w:val="21E8E1B2"/>
    <w:rsid w:val="2333170D"/>
    <w:rsid w:val="259D996A"/>
    <w:rsid w:val="26E43E12"/>
    <w:rsid w:val="2A293DE4"/>
    <w:rsid w:val="2A900AC2"/>
    <w:rsid w:val="2B143CE4"/>
    <w:rsid w:val="2B250095"/>
    <w:rsid w:val="2CD9F953"/>
    <w:rsid w:val="2D7E5776"/>
    <w:rsid w:val="2EB3B553"/>
    <w:rsid w:val="32BFE471"/>
    <w:rsid w:val="32E1E168"/>
    <w:rsid w:val="3373DA79"/>
    <w:rsid w:val="340C54D0"/>
    <w:rsid w:val="3429AB12"/>
    <w:rsid w:val="34B0EA79"/>
    <w:rsid w:val="3580643E"/>
    <w:rsid w:val="358A6BE9"/>
    <w:rsid w:val="396618CD"/>
    <w:rsid w:val="3979A318"/>
    <w:rsid w:val="3B954121"/>
    <w:rsid w:val="3BAEBF14"/>
    <w:rsid w:val="3CF380C1"/>
    <w:rsid w:val="3CF512E4"/>
    <w:rsid w:val="3CF850E3"/>
    <w:rsid w:val="3DE6F32E"/>
    <w:rsid w:val="41D10A71"/>
    <w:rsid w:val="434B0208"/>
    <w:rsid w:val="467766B5"/>
    <w:rsid w:val="4685C48C"/>
    <w:rsid w:val="46A47B94"/>
    <w:rsid w:val="4795BA8F"/>
    <w:rsid w:val="47ADD34F"/>
    <w:rsid w:val="482194ED"/>
    <w:rsid w:val="49BD654E"/>
    <w:rsid w:val="4B89AAF6"/>
    <w:rsid w:val="4D35F767"/>
    <w:rsid w:val="4D4AA7D5"/>
    <w:rsid w:val="4DAD7FE8"/>
    <w:rsid w:val="4E2BE4DD"/>
    <w:rsid w:val="4E48FC6C"/>
    <w:rsid w:val="4E5BFB19"/>
    <w:rsid w:val="533026D5"/>
    <w:rsid w:val="53404A8F"/>
    <w:rsid w:val="53BBE3AB"/>
    <w:rsid w:val="53BFA1B2"/>
    <w:rsid w:val="54ECE3E5"/>
    <w:rsid w:val="552341CD"/>
    <w:rsid w:val="55440420"/>
    <w:rsid w:val="578AA335"/>
    <w:rsid w:val="57BF3881"/>
    <w:rsid w:val="583B84F8"/>
    <w:rsid w:val="593E9AAF"/>
    <w:rsid w:val="5971E515"/>
    <w:rsid w:val="59BFC6A8"/>
    <w:rsid w:val="5A5D6459"/>
    <w:rsid w:val="5B8F9D9D"/>
    <w:rsid w:val="5DE5C470"/>
    <w:rsid w:val="5FAE0E5A"/>
    <w:rsid w:val="645505F4"/>
    <w:rsid w:val="651D5786"/>
    <w:rsid w:val="6668EE1C"/>
    <w:rsid w:val="6673B38F"/>
    <w:rsid w:val="66D2586B"/>
    <w:rsid w:val="679FC5BB"/>
    <w:rsid w:val="6A4A07FA"/>
    <w:rsid w:val="6B2970CC"/>
    <w:rsid w:val="6B50296F"/>
    <w:rsid w:val="6D650308"/>
    <w:rsid w:val="6F1F3865"/>
    <w:rsid w:val="709E9A93"/>
    <w:rsid w:val="70BBF0D5"/>
    <w:rsid w:val="73121E27"/>
    <w:rsid w:val="73771B4E"/>
    <w:rsid w:val="74DC53E6"/>
    <w:rsid w:val="74F259A4"/>
    <w:rsid w:val="75B86C28"/>
    <w:rsid w:val="76EEF957"/>
    <w:rsid w:val="77959FB7"/>
    <w:rsid w:val="7804C1BF"/>
    <w:rsid w:val="78065883"/>
    <w:rsid w:val="786C374D"/>
    <w:rsid w:val="7D02A527"/>
    <w:rsid w:val="7E3C2791"/>
    <w:rsid w:val="7EAB3505"/>
    <w:rsid w:val="7F6253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9831"/>
  <w15:docId w15:val="{A8234590-FAD0-4B84-AB52-DDF6E7F5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C6C"/>
  </w:style>
  <w:style w:type="paragraph" w:styleId="Heading1">
    <w:name w:val="heading 1"/>
    <w:basedOn w:val="Normal"/>
    <w:next w:val="Normal"/>
    <w:link w:val="Heading1Char"/>
    <w:uiPriority w:val="9"/>
    <w:qFormat/>
    <w:rsid w:val="00386E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6A1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0EF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qFormat/>
    <w:rsid w:val="002E7678"/>
    <w:pPr>
      <w:ind w:left="720"/>
      <w:contextualSpacing/>
    </w:pPr>
  </w:style>
  <w:style w:type="table" w:styleId="TableGrid">
    <w:name w:val="Table Grid"/>
    <w:basedOn w:val="TableNormal"/>
    <w:uiPriority w:val="59"/>
    <w:rsid w:val="002E76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7678"/>
    <w:pPr>
      <w:spacing w:after="0" w:line="240" w:lineRule="auto"/>
    </w:pPr>
  </w:style>
  <w:style w:type="character" w:styleId="Hyperlink">
    <w:name w:val="Hyperlink"/>
    <w:basedOn w:val="DefaultParagraphFont"/>
    <w:uiPriority w:val="99"/>
    <w:unhideWhenUsed/>
    <w:rsid w:val="002E7678"/>
    <w:rPr>
      <w:color w:val="0000FF" w:themeColor="hyperlink"/>
      <w:u w:val="single"/>
    </w:rPr>
  </w:style>
  <w:style w:type="character" w:styleId="FollowedHyperlink">
    <w:name w:val="FollowedHyperlink"/>
    <w:basedOn w:val="DefaultParagraphFont"/>
    <w:uiPriority w:val="99"/>
    <w:semiHidden/>
    <w:unhideWhenUsed/>
    <w:rsid w:val="00950A04"/>
    <w:rPr>
      <w:color w:val="800080" w:themeColor="followedHyperlink"/>
      <w:u w:val="single"/>
    </w:rPr>
  </w:style>
  <w:style w:type="paragraph" w:styleId="BalloonText">
    <w:name w:val="Balloon Text"/>
    <w:basedOn w:val="Normal"/>
    <w:link w:val="BalloonTextChar"/>
    <w:uiPriority w:val="99"/>
    <w:semiHidden/>
    <w:unhideWhenUsed/>
    <w:rsid w:val="008D2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2A23"/>
    <w:rPr>
      <w:rFonts w:ascii="Tahoma" w:hAnsi="Tahoma" w:cs="Tahoma"/>
      <w:sz w:val="16"/>
      <w:szCs w:val="16"/>
    </w:rPr>
  </w:style>
  <w:style w:type="character" w:styleId="LineNumber">
    <w:name w:val="line number"/>
    <w:basedOn w:val="DefaultParagraphFont"/>
    <w:uiPriority w:val="99"/>
    <w:semiHidden/>
    <w:unhideWhenUsed/>
    <w:rsid w:val="00386EC0"/>
  </w:style>
  <w:style w:type="character" w:customStyle="1" w:styleId="Heading1Char">
    <w:name w:val="Heading 1 Char"/>
    <w:basedOn w:val="DefaultParagraphFont"/>
    <w:link w:val="Heading1"/>
    <w:uiPriority w:val="9"/>
    <w:rsid w:val="00386EC0"/>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386EC0"/>
    <w:pPr>
      <w:outlineLvl w:val="9"/>
    </w:pPr>
    <w:rPr>
      <w:lang w:val="en-US" w:eastAsia="ja-JP"/>
    </w:rPr>
  </w:style>
  <w:style w:type="character" w:customStyle="1" w:styleId="Heading2Char">
    <w:name w:val="Heading 2 Char"/>
    <w:basedOn w:val="DefaultParagraphFont"/>
    <w:link w:val="Heading2"/>
    <w:uiPriority w:val="9"/>
    <w:rsid w:val="00106A13"/>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A06AB5"/>
    <w:pPr>
      <w:tabs>
        <w:tab w:val="left" w:pos="709"/>
        <w:tab w:val="right" w:leader="dot" w:pos="10421"/>
      </w:tabs>
      <w:spacing w:after="100"/>
    </w:pPr>
  </w:style>
  <w:style w:type="paragraph" w:styleId="Header">
    <w:name w:val="header"/>
    <w:basedOn w:val="Normal"/>
    <w:link w:val="HeaderChar"/>
    <w:uiPriority w:val="99"/>
    <w:unhideWhenUsed/>
    <w:rsid w:val="00102D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DF9"/>
  </w:style>
  <w:style w:type="paragraph" w:styleId="Footer">
    <w:name w:val="footer"/>
    <w:basedOn w:val="Normal"/>
    <w:link w:val="FooterChar"/>
    <w:uiPriority w:val="99"/>
    <w:unhideWhenUsed/>
    <w:rsid w:val="00102D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DF9"/>
  </w:style>
  <w:style w:type="character" w:styleId="UnresolvedMention">
    <w:name w:val="Unresolved Mention"/>
    <w:basedOn w:val="DefaultParagraphFont"/>
    <w:uiPriority w:val="99"/>
    <w:semiHidden/>
    <w:unhideWhenUsed/>
    <w:rsid w:val="00E22374"/>
    <w:rPr>
      <w:color w:val="605E5C"/>
      <w:shd w:val="clear" w:color="auto" w:fill="E1DFDD"/>
    </w:rPr>
  </w:style>
  <w:style w:type="paragraph" w:styleId="Revision">
    <w:name w:val="Revision"/>
    <w:hidden/>
    <w:uiPriority w:val="99"/>
    <w:semiHidden/>
    <w:rsid w:val="00325102"/>
    <w:pPr>
      <w:spacing w:after="0" w:line="240" w:lineRule="auto"/>
    </w:pPr>
  </w:style>
  <w:style w:type="paragraph" w:styleId="NormalWeb">
    <w:name w:val="Normal (Web)"/>
    <w:basedOn w:val="Normal"/>
    <w:uiPriority w:val="99"/>
    <w:unhideWhenUsed/>
    <w:rsid w:val="004356F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66752"/>
    <w:rPr>
      <w:b/>
      <w:bCs/>
    </w:rPr>
  </w:style>
  <w:style w:type="paragraph" w:styleId="FootnoteText">
    <w:name w:val="footnote text"/>
    <w:basedOn w:val="Normal"/>
    <w:link w:val="FootnoteTextChar"/>
    <w:uiPriority w:val="99"/>
    <w:semiHidden/>
    <w:unhideWhenUsed/>
    <w:rsid w:val="00A65E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65EA2"/>
    <w:rPr>
      <w:sz w:val="20"/>
      <w:szCs w:val="20"/>
    </w:rPr>
  </w:style>
  <w:style w:type="character" w:styleId="FootnoteReference">
    <w:name w:val="footnote reference"/>
    <w:basedOn w:val="DefaultParagraphFont"/>
    <w:uiPriority w:val="99"/>
    <w:semiHidden/>
    <w:unhideWhenUsed/>
    <w:rsid w:val="00A65EA2"/>
    <w:rPr>
      <w:vertAlign w:val="superscript"/>
    </w:rPr>
  </w:style>
  <w:style w:type="paragraph" w:styleId="EndnoteText">
    <w:name w:val="endnote text"/>
    <w:basedOn w:val="Normal"/>
    <w:link w:val="EndnoteTextChar"/>
    <w:uiPriority w:val="99"/>
    <w:semiHidden/>
    <w:unhideWhenUsed/>
    <w:rsid w:val="006002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02A2"/>
    <w:rPr>
      <w:sz w:val="20"/>
      <w:szCs w:val="20"/>
    </w:rPr>
  </w:style>
  <w:style w:type="character" w:styleId="EndnoteReference">
    <w:name w:val="endnote reference"/>
    <w:basedOn w:val="DefaultParagraphFont"/>
    <w:uiPriority w:val="99"/>
    <w:semiHidden/>
    <w:unhideWhenUsed/>
    <w:rsid w:val="006002A2"/>
    <w:rPr>
      <w:vertAlign w:val="superscript"/>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A1B5E"/>
    <w:rPr>
      <w:b/>
      <w:bCs/>
    </w:rPr>
  </w:style>
  <w:style w:type="character" w:customStyle="1" w:styleId="CommentSubjectChar">
    <w:name w:val="Comment Subject Char"/>
    <w:basedOn w:val="CommentTextChar"/>
    <w:link w:val="CommentSubject"/>
    <w:uiPriority w:val="99"/>
    <w:semiHidden/>
    <w:rsid w:val="001A1B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85413">
      <w:bodyDiv w:val="1"/>
      <w:marLeft w:val="0"/>
      <w:marRight w:val="0"/>
      <w:marTop w:val="0"/>
      <w:marBottom w:val="0"/>
      <w:divBdr>
        <w:top w:val="none" w:sz="0" w:space="0" w:color="auto"/>
        <w:left w:val="none" w:sz="0" w:space="0" w:color="auto"/>
        <w:bottom w:val="none" w:sz="0" w:space="0" w:color="auto"/>
        <w:right w:val="none" w:sz="0" w:space="0" w:color="auto"/>
      </w:divBdr>
    </w:div>
    <w:div w:id="102574306">
      <w:bodyDiv w:val="1"/>
      <w:marLeft w:val="0"/>
      <w:marRight w:val="0"/>
      <w:marTop w:val="0"/>
      <w:marBottom w:val="0"/>
      <w:divBdr>
        <w:top w:val="none" w:sz="0" w:space="0" w:color="auto"/>
        <w:left w:val="none" w:sz="0" w:space="0" w:color="auto"/>
        <w:bottom w:val="none" w:sz="0" w:space="0" w:color="auto"/>
        <w:right w:val="none" w:sz="0" w:space="0" w:color="auto"/>
      </w:divBdr>
    </w:div>
    <w:div w:id="214391554">
      <w:bodyDiv w:val="1"/>
      <w:marLeft w:val="0"/>
      <w:marRight w:val="0"/>
      <w:marTop w:val="0"/>
      <w:marBottom w:val="0"/>
      <w:divBdr>
        <w:top w:val="none" w:sz="0" w:space="0" w:color="auto"/>
        <w:left w:val="none" w:sz="0" w:space="0" w:color="auto"/>
        <w:bottom w:val="none" w:sz="0" w:space="0" w:color="auto"/>
        <w:right w:val="none" w:sz="0" w:space="0" w:color="auto"/>
      </w:divBdr>
    </w:div>
    <w:div w:id="601913760">
      <w:bodyDiv w:val="1"/>
      <w:marLeft w:val="0"/>
      <w:marRight w:val="0"/>
      <w:marTop w:val="0"/>
      <w:marBottom w:val="0"/>
      <w:divBdr>
        <w:top w:val="none" w:sz="0" w:space="0" w:color="auto"/>
        <w:left w:val="none" w:sz="0" w:space="0" w:color="auto"/>
        <w:bottom w:val="none" w:sz="0" w:space="0" w:color="auto"/>
        <w:right w:val="none" w:sz="0" w:space="0" w:color="auto"/>
      </w:divBdr>
    </w:div>
    <w:div w:id="751780307">
      <w:bodyDiv w:val="1"/>
      <w:marLeft w:val="0"/>
      <w:marRight w:val="0"/>
      <w:marTop w:val="0"/>
      <w:marBottom w:val="0"/>
      <w:divBdr>
        <w:top w:val="none" w:sz="0" w:space="0" w:color="auto"/>
        <w:left w:val="none" w:sz="0" w:space="0" w:color="auto"/>
        <w:bottom w:val="none" w:sz="0" w:space="0" w:color="auto"/>
        <w:right w:val="none" w:sz="0" w:space="0" w:color="auto"/>
      </w:divBdr>
    </w:div>
    <w:div w:id="953294482">
      <w:bodyDiv w:val="1"/>
      <w:marLeft w:val="0"/>
      <w:marRight w:val="0"/>
      <w:marTop w:val="0"/>
      <w:marBottom w:val="0"/>
      <w:divBdr>
        <w:top w:val="none" w:sz="0" w:space="0" w:color="auto"/>
        <w:left w:val="none" w:sz="0" w:space="0" w:color="auto"/>
        <w:bottom w:val="none" w:sz="0" w:space="0" w:color="auto"/>
        <w:right w:val="none" w:sz="0" w:space="0" w:color="auto"/>
      </w:divBdr>
    </w:div>
    <w:div w:id="1043678387">
      <w:bodyDiv w:val="1"/>
      <w:marLeft w:val="0"/>
      <w:marRight w:val="0"/>
      <w:marTop w:val="0"/>
      <w:marBottom w:val="0"/>
      <w:divBdr>
        <w:top w:val="none" w:sz="0" w:space="0" w:color="auto"/>
        <w:left w:val="none" w:sz="0" w:space="0" w:color="auto"/>
        <w:bottom w:val="none" w:sz="0" w:space="0" w:color="auto"/>
        <w:right w:val="none" w:sz="0" w:space="0" w:color="auto"/>
      </w:divBdr>
    </w:div>
    <w:div w:id="1476872038">
      <w:bodyDiv w:val="1"/>
      <w:marLeft w:val="0"/>
      <w:marRight w:val="0"/>
      <w:marTop w:val="0"/>
      <w:marBottom w:val="0"/>
      <w:divBdr>
        <w:top w:val="none" w:sz="0" w:space="0" w:color="auto"/>
        <w:left w:val="none" w:sz="0" w:space="0" w:color="auto"/>
        <w:bottom w:val="none" w:sz="0" w:space="0" w:color="auto"/>
        <w:right w:val="none" w:sz="0" w:space="0" w:color="auto"/>
      </w:divBdr>
    </w:div>
    <w:div w:id="1566145573">
      <w:bodyDiv w:val="1"/>
      <w:marLeft w:val="0"/>
      <w:marRight w:val="0"/>
      <w:marTop w:val="0"/>
      <w:marBottom w:val="0"/>
      <w:divBdr>
        <w:top w:val="none" w:sz="0" w:space="0" w:color="auto"/>
        <w:left w:val="none" w:sz="0" w:space="0" w:color="auto"/>
        <w:bottom w:val="none" w:sz="0" w:space="0" w:color="auto"/>
        <w:right w:val="none" w:sz="0" w:space="0" w:color="auto"/>
      </w:divBdr>
    </w:div>
    <w:div w:id="1677540269">
      <w:bodyDiv w:val="1"/>
      <w:marLeft w:val="0"/>
      <w:marRight w:val="0"/>
      <w:marTop w:val="0"/>
      <w:marBottom w:val="0"/>
      <w:divBdr>
        <w:top w:val="none" w:sz="0" w:space="0" w:color="auto"/>
        <w:left w:val="none" w:sz="0" w:space="0" w:color="auto"/>
        <w:bottom w:val="none" w:sz="0" w:space="0" w:color="auto"/>
        <w:right w:val="none" w:sz="0" w:space="0" w:color="auto"/>
      </w:divBdr>
      <w:divsChild>
        <w:div w:id="1045443363">
          <w:marLeft w:val="0"/>
          <w:marRight w:val="0"/>
          <w:marTop w:val="0"/>
          <w:marBottom w:val="0"/>
          <w:divBdr>
            <w:top w:val="none" w:sz="0" w:space="0" w:color="auto"/>
            <w:left w:val="none" w:sz="0" w:space="0" w:color="auto"/>
            <w:bottom w:val="none" w:sz="0" w:space="0" w:color="auto"/>
            <w:right w:val="none" w:sz="0" w:space="0" w:color="auto"/>
          </w:divBdr>
          <w:divsChild>
            <w:div w:id="1729645828">
              <w:marLeft w:val="0"/>
              <w:marRight w:val="0"/>
              <w:marTop w:val="0"/>
              <w:marBottom w:val="0"/>
              <w:divBdr>
                <w:top w:val="none" w:sz="0" w:space="0" w:color="auto"/>
                <w:left w:val="none" w:sz="0" w:space="0" w:color="auto"/>
                <w:bottom w:val="none" w:sz="0" w:space="0" w:color="auto"/>
                <w:right w:val="none" w:sz="0" w:space="0" w:color="auto"/>
              </w:divBdr>
              <w:divsChild>
                <w:div w:id="1028868547">
                  <w:marLeft w:val="0"/>
                  <w:marRight w:val="0"/>
                  <w:marTop w:val="0"/>
                  <w:marBottom w:val="0"/>
                  <w:divBdr>
                    <w:top w:val="none" w:sz="0" w:space="0" w:color="auto"/>
                    <w:left w:val="none" w:sz="0" w:space="0" w:color="auto"/>
                    <w:bottom w:val="none" w:sz="0" w:space="0" w:color="auto"/>
                    <w:right w:val="none" w:sz="0" w:space="0" w:color="auto"/>
                  </w:divBdr>
                  <w:divsChild>
                    <w:div w:id="1462653926">
                      <w:marLeft w:val="0"/>
                      <w:marRight w:val="0"/>
                      <w:marTop w:val="0"/>
                      <w:marBottom w:val="0"/>
                      <w:divBdr>
                        <w:top w:val="none" w:sz="0" w:space="0" w:color="auto"/>
                        <w:left w:val="none" w:sz="0" w:space="0" w:color="auto"/>
                        <w:bottom w:val="none" w:sz="0" w:space="0" w:color="auto"/>
                        <w:right w:val="none" w:sz="0" w:space="0" w:color="auto"/>
                      </w:divBdr>
                      <w:divsChild>
                        <w:div w:id="233007694">
                          <w:marLeft w:val="0"/>
                          <w:marRight w:val="0"/>
                          <w:marTop w:val="0"/>
                          <w:marBottom w:val="0"/>
                          <w:divBdr>
                            <w:top w:val="none" w:sz="0" w:space="0" w:color="auto"/>
                            <w:left w:val="none" w:sz="0" w:space="0" w:color="auto"/>
                            <w:bottom w:val="none" w:sz="0" w:space="0" w:color="auto"/>
                            <w:right w:val="none" w:sz="0" w:space="0" w:color="auto"/>
                          </w:divBdr>
                          <w:divsChild>
                            <w:div w:id="152026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56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gloucestershire.gov.uk/schoolsnet/school-office/school-finance/school-budget-allocations/school-budgets-fy-2025-26/" TargetMode="External"/><Relationship Id="rId18" Type="http://schemas.openxmlformats.org/officeDocument/2006/relationships/hyperlink" Target="https://www.gov.uk/guidance/copyright-licences-information-for-schools." TargetMode="External"/><Relationship Id="rId26" Type="http://schemas.openxmlformats.org/officeDocument/2006/relationships/hyperlink" Target="https://www.gov.uk/government/publications/capital-allocations" TargetMode="External"/><Relationship Id="rId21" Type="http://schemas.openxmlformats.org/officeDocument/2006/relationships/hyperlink" Target="https://www.gov.uk/guidance/16-to-19-funding-how-it-works"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uk/government/publications/national-funding-formula-for-schools-and-high-needs-from-2025" TargetMode="External"/><Relationship Id="rId17" Type="http://schemas.openxmlformats.org/officeDocument/2006/relationships/hyperlink" Target="https://www.gloucestershire.gov.uk/schoolsnet/gloucestershire-school-improvement-glossi/about-glossi/" TargetMode="External"/><Relationship Id="rId25" Type="http://schemas.openxmlformats.org/officeDocument/2006/relationships/hyperlink" Target="https://www.gov.uk/government/publications/universal-infant-free-school-meals-uifsm-2025-to-2026/universal-infant-free-school-meals-uifsm-conditions-of-grant-2025-to-2026"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overnment/publications/free-school-meals-guidance-for-schools-and-local-authorities" TargetMode="External"/><Relationship Id="rId20" Type="http://schemas.openxmlformats.org/officeDocument/2006/relationships/hyperlink" Target="http://www.businesssupportservices.org/" TargetMode="External"/><Relationship Id="rId29" Type="http://schemas.openxmlformats.org/officeDocument/2006/relationships/hyperlink" Target="https://financial-benchmarking-and-insights-tool.educatio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uk/guidance/pe-and-sport-premium-for-primary-schools"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how-to-complete-the-authority-proforma-tool-apt-2026-to-2027/schools-block-technical-specification-2026-to-2027-for-use-in-schools-block-allocations" TargetMode="External"/><Relationship Id="rId23" Type="http://schemas.openxmlformats.org/officeDocument/2006/relationships/hyperlink" Target="https://www.gov.uk/government/publications/pupil-premium/pupil-premium" TargetMode="External"/><Relationship Id="rId28" Type="http://schemas.openxmlformats.org/officeDocument/2006/relationships/hyperlink" Target="https://www.gov.uk/education/school-and-academy-financial-management-and-assurance"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erspective.angelsolutions.co.uk/perspective/login.aspx" TargetMode="External"/><Relationship Id="rId31" Type="http://schemas.openxmlformats.org/officeDocument/2006/relationships/hyperlink" Target="https://www.gloucestershire.gov.uk/schoolsnet/school-office/school-fin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hoolbudgets@gloucestershire.gov.uk" TargetMode="External"/><Relationship Id="rId22" Type="http://schemas.openxmlformats.org/officeDocument/2006/relationships/hyperlink" Target="https://www.gov.uk/guidance/get-information-about-pupil-giap" TargetMode="External"/><Relationship Id="rId27" Type="http://schemas.openxmlformats.org/officeDocument/2006/relationships/hyperlink" Target="https://www.gov.uk/guidance/schools-financial-value-standard-and-assurance-sfvs" TargetMode="External"/><Relationship Id="rId30" Type="http://schemas.openxmlformats.org/officeDocument/2006/relationships/hyperlink" Target="https://www.gov.uk/guidance/buying-for-schools"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7D0136A150B40AC73FA77F9125DFE" ma:contentTypeVersion="7" ma:contentTypeDescription="Create a new document." ma:contentTypeScope="" ma:versionID="efffe9edaa2e465d48722e4ac5cf7a16">
  <xsd:schema xmlns:xsd="http://www.w3.org/2001/XMLSchema" xmlns:xs="http://www.w3.org/2001/XMLSchema" xmlns:p="http://schemas.microsoft.com/office/2006/metadata/properties" xmlns:ns2="fb987fa5-fcff-4848-96d6-8f23839f51e0" xmlns:ns3="07cb0ae7-4148-4484-a5b9-1e8e812e7102" xmlns:ns4="e8b78563-63a9-4d35-8033-d7f2ee584c6c" targetNamespace="http://schemas.microsoft.com/office/2006/metadata/properties" ma:root="true" ma:fieldsID="2a4da5c9989a26b3daad93b00eb81e5f" ns2:_="" ns3:_="" ns4:_="">
    <xsd:import namespace="fb987fa5-fcff-4848-96d6-8f23839f51e0"/>
    <xsd:import namespace="07cb0ae7-4148-4484-a5b9-1e8e812e7102"/>
    <xsd:import namespace="e8b78563-63a9-4d35-8033-d7f2ee584c6c"/>
    <xsd:element name="properties">
      <xsd:complexType>
        <xsd:sequence>
          <xsd:element name="documentManagement">
            <xsd:complexType>
              <xsd:all>
                <xsd:element ref="ns2:Academy_x0020_Conversions" minOccurs="0"/>
                <xsd:element ref="ns2:Budgets_x0020_and_x0020_DSG" minOccurs="0"/>
                <xsd:element ref="ns2:Closedown" minOccurs="0"/>
                <xsd:element ref="ns3:Financial_x0020_Year" minOccurs="0"/>
                <xsd:element ref="ns3:FSO" minOccurs="0"/>
                <xsd:element ref="ns3:Month" minOccurs="0"/>
                <xsd:element ref="ns2:Recoupment" minOccurs="0"/>
                <xsd:element ref="ns2:Returns" minOccurs="0"/>
                <xsd:element ref="ns2:School_x0020_Name" minOccurs="0"/>
                <xsd:element ref="ns2:School_x0020_Type_x0020_1" minOccurs="0"/>
                <xsd:element ref="ns2:School_x0020_Type_x0020_2" minOccurs="0"/>
                <xsd:element ref="ns2:School_x0020_Type_x0020_3" minOccurs="0"/>
                <xsd:element ref="ns2:School_x0020_Type_x0020_4"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87fa5-fcff-4848-96d6-8f23839f51e0" elementFormDefault="qualified">
    <xsd:import namespace="http://schemas.microsoft.com/office/2006/documentManagement/types"/>
    <xsd:import namespace="http://schemas.microsoft.com/office/infopath/2007/PartnerControls"/>
    <xsd:element name="Academy_x0020_Conversions" ma:index="8" nillable="true" ma:displayName="Academy Conversions" ma:format="Dropdown" ma:internalName="Academy_x0020_Conversions">
      <xsd:simpleType>
        <xsd:restriction base="dms:Choice">
          <xsd:enumeration value="All"/>
          <xsd:enumeration value="Balance on Conversions"/>
          <xsd:enumeration value="Cabinet Sign Offs"/>
          <xsd:enumeration value="DfE ESFA Info"/>
          <xsd:enumeration value="Legal CTAs"/>
          <xsd:enumeration value="School Info Sent"/>
        </xsd:restriction>
      </xsd:simpleType>
    </xsd:element>
    <xsd:element name="Budgets_x0020_and_x0020_DSG" ma:index="9" nillable="true" ma:displayName="Budgets and DSG" ma:format="Dropdown" ma:internalName="Budgets_x0020_and_x0020_DSG">
      <xsd:simpleType>
        <xsd:restriction base="dms:Choice">
          <xsd:enumeration value="All"/>
          <xsd:enumeration value="DSG Guides"/>
          <xsd:enumeration value="DSG Reconciliations"/>
          <xsd:enumeration value="DSG Recoupments"/>
          <xsd:enumeration value="APTs"/>
        </xsd:restriction>
      </xsd:simpleType>
    </xsd:element>
    <xsd:element name="Closedown" ma:index="10" nillable="true" ma:displayName="Closedown" ma:format="Dropdown" ma:internalName="Closedown">
      <xsd:simpleType>
        <xsd:restriction base="dms:Choice">
          <xsd:enumeration value="All"/>
          <xsd:enumeration value="Audit"/>
          <xsd:enumeration value="DSG Blocks"/>
          <xsd:enumeration value="DSG Note"/>
          <xsd:enumeration value="EY Final Estimate"/>
          <xsd:enumeration value="Final Monitoring Sheet"/>
          <xsd:enumeration value="Statement of Accounts"/>
          <xsd:enumeration value="Year End Journals"/>
        </xsd:restriction>
      </xsd:simpleType>
    </xsd:element>
    <xsd:element name="Recoupment" ma:index="14" nillable="true" ma:displayName="Recoupment" ma:format="Dropdown" ma:internalName="Recoupment">
      <xsd:simpleType>
        <xsd:restriction base="dms:Choice">
          <xsd:enumeration value="All"/>
          <xsd:enumeration value="LAC"/>
          <xsd:enumeration value="Welsh"/>
          <xsd:enumeration value="Schools"/>
          <xsd:enumeration value="High Needs"/>
        </xsd:restriction>
      </xsd:simpleType>
    </xsd:element>
    <xsd:element name="Returns" ma:index="15" nillable="true" ma:displayName="Returns" ma:format="Dropdown" ma:internalName="Returns">
      <xsd:simpleType>
        <xsd:restriction base="dms:Choice">
          <xsd:enumeration value="All"/>
          <xsd:enumeration value="CFR"/>
          <xsd:enumeration value="GBPs"/>
          <xsd:enumeration value="SFVs"/>
          <xsd:enumeration value="FN12s"/>
          <xsd:enumeration value="Rev &amp; Cap Swap"/>
        </xsd:restriction>
      </xsd:simpleType>
    </xsd:element>
    <xsd:element name="School_x0020_Name" ma:index="16" nillable="true" ma:displayName="School Name" ma:internalName="School_x0020_Name">
      <xsd:simpleType>
        <xsd:restriction base="dms:Text">
          <xsd:maxLength value="255"/>
        </xsd:restriction>
      </xsd:simpleType>
    </xsd:element>
    <xsd:element name="School_x0020_Type_x0020_1" ma:index="17" nillable="true" ma:displayName="School Type 1" ma:format="Dropdown" ma:internalName="School_x0020_Type_x0020_1">
      <xsd:simpleType>
        <xsd:restriction base="dms:Choice">
          <xsd:enumeration value="All"/>
          <xsd:enumeration value="Academy or Free School"/>
          <xsd:enumeration value="Maintained"/>
          <xsd:enumeration value="Independent"/>
          <xsd:enumeration value="Education Other"/>
        </xsd:restriction>
      </xsd:simpleType>
    </xsd:element>
    <xsd:element name="School_x0020_Type_x0020_2" ma:index="18" nillable="true" ma:displayName="School Type 2" ma:format="Dropdown" ma:internalName="School_x0020_Type_x0020_2">
      <xsd:simpleType>
        <xsd:restriction base="dms:Choice">
          <xsd:enumeration value="AP"/>
          <xsd:enumeration value="Mainstream"/>
          <xsd:enumeration value="Special"/>
          <xsd:enumeration value="Special Centre"/>
          <xsd:enumeration value="Early Years"/>
        </xsd:restriction>
      </xsd:simpleType>
    </xsd:element>
    <xsd:element name="School_x0020_Type_x0020_3" ma:index="19" nillable="true" ma:displayName="School Type 3" ma:format="Dropdown" ma:internalName="School_x0020_Type_x0020_3">
      <xsd:simpleType>
        <xsd:restriction base="dms:Choice">
          <xsd:enumeration value="Primary"/>
          <xsd:enumeration value="Secondary"/>
        </xsd:restriction>
      </xsd:simpleType>
    </xsd:element>
    <xsd:element name="School_x0020_Type_x0020_4" ma:index="20" nillable="true" ma:displayName="School Type 4" ma:format="Dropdown" ma:internalName="School_x0020_Type_x0020_4">
      <xsd:simpleType>
        <xsd:restriction base="dms:Choice">
          <xsd:enumeration value="All"/>
          <xsd:enumeration value="Central"/>
          <xsd:enumeration value="Cheque Book"/>
        </xsd:restriction>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cb0ae7-4148-4484-a5b9-1e8e812e7102" elementFormDefault="qualified">
    <xsd:import namespace="http://schemas.microsoft.com/office/2006/documentManagement/types"/>
    <xsd:import namespace="http://schemas.microsoft.com/office/infopath/2007/PartnerControls"/>
    <xsd:element name="Financial_x0020_Year" ma:index="11" nillable="true" ma:displayName="Financial Year" ma:format="Dropdown" ma:internalName="Financial_x0020_Year">
      <xsd:simpleType>
        <xsd:union memberTypes="dms:Text">
          <xsd:simpleType>
            <xsd:restriction base="dms:Choice">
              <xsd:enumeration value="2029-2030"/>
              <xsd:enumeration value="2028-2029"/>
              <xsd:enumeration value="2027-2028"/>
              <xsd:enumeration value="2026-2027"/>
              <xsd:enumeration value="2025-2026"/>
              <xsd:enumeration value="2024-2025"/>
              <xsd:enumeration value="2023-2024"/>
              <xsd:enumeration value="2022-2023"/>
              <xsd:enumeration value="2021-2022"/>
              <xsd:enumeration value="2020-2021"/>
              <xsd:enumeration value="2019-2020"/>
              <xsd:enumeration value="2018-2019"/>
              <xsd:enumeration value="2017-2018"/>
              <xsd:enumeration value="2016-2017"/>
            </xsd:restriction>
          </xsd:simpleType>
        </xsd:union>
      </xsd:simpleType>
    </xsd:element>
    <xsd:element name="FSO" ma:index="12" nillable="true" ma:displayName="FSO" ma:list="UserInfo" ma:SharePointGroup="0" ma:internalName="FS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onth" ma:index="13" nillable="true" ma:displayName="Month" ma:default=""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Choice 12"/>
        </xsd:restriction>
      </xsd:simpleType>
    </xsd:element>
  </xsd:schema>
  <xsd:schema xmlns:xsd="http://www.w3.org/2001/XMLSchema" xmlns:xs="http://www.w3.org/2001/XMLSchema" xmlns:dms="http://schemas.microsoft.com/office/2006/documentManagement/types" xmlns:pc="http://schemas.microsoft.com/office/infopath/2007/PartnerControls" targetNamespace="e8b78563-63a9-4d35-8033-d7f2ee584c6c"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Financial_x0020_Year xmlns="07cb0ae7-4148-4484-a5b9-1e8e812e7102" xsi:nil="true"/>
    <Month xmlns="07cb0ae7-4148-4484-a5b9-1e8e812e7102" xsi:nil="true"/>
    <Closedown xmlns="fb987fa5-fcff-4848-96d6-8f23839f51e0" xsi:nil="true"/>
    <FSO xmlns="07cb0ae7-4148-4484-a5b9-1e8e812e7102">
      <UserInfo>
        <DisplayName/>
        <AccountId xsi:nil="true"/>
        <AccountType/>
      </UserInfo>
    </FSO>
    <Budgets_x0020_and_x0020_DSG xmlns="fb987fa5-fcff-4848-96d6-8f23839f51e0" xsi:nil="true"/>
    <School_x0020_Name xmlns="fb987fa5-fcff-4848-96d6-8f23839f51e0" xsi:nil="true"/>
    <School_x0020_Type_x0020_4 xmlns="fb987fa5-fcff-4848-96d6-8f23839f51e0" xsi:nil="true"/>
    <School_x0020_Type_x0020_3 xmlns="fb987fa5-fcff-4848-96d6-8f23839f51e0" xsi:nil="true"/>
    <School_x0020_Type_x0020_2 xmlns="fb987fa5-fcff-4848-96d6-8f23839f51e0" xsi:nil="true"/>
    <Academy_x0020_Conversions xmlns="fb987fa5-fcff-4848-96d6-8f23839f51e0" xsi:nil="true"/>
    <Recoupment xmlns="fb987fa5-fcff-4848-96d6-8f23839f51e0" xsi:nil="true"/>
    <School_x0020_Type_x0020_1 xmlns="fb987fa5-fcff-4848-96d6-8f23839f51e0" xsi:nil="true"/>
    <Returns xmlns="fb987fa5-fcff-4848-96d6-8f23839f51e0" xsi:nil="true"/>
  </documentManagement>
</p:properties>
</file>

<file path=customXml/itemProps1.xml><?xml version="1.0" encoding="utf-8"?>
<ds:datastoreItem xmlns:ds="http://schemas.openxmlformats.org/officeDocument/2006/customXml" ds:itemID="{4A8CA393-CE4D-4849-BA33-0AECD8CBE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87fa5-fcff-4848-96d6-8f23839f51e0"/>
    <ds:schemaRef ds:uri="07cb0ae7-4148-4484-a5b9-1e8e812e7102"/>
    <ds:schemaRef ds:uri="e8b78563-63a9-4d35-8033-d7f2ee584c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E41189-A953-40E5-A397-16EC755AF876}">
  <ds:schemaRefs>
    <ds:schemaRef ds:uri="http://schemas.microsoft.com/sharepoint/v3/contenttype/forms"/>
  </ds:schemaRefs>
</ds:datastoreItem>
</file>

<file path=customXml/itemProps3.xml><?xml version="1.0" encoding="utf-8"?>
<ds:datastoreItem xmlns:ds="http://schemas.openxmlformats.org/officeDocument/2006/customXml" ds:itemID="{27A8C19E-2308-47FF-948C-51C3127E0482}">
  <ds:schemaRefs>
    <ds:schemaRef ds:uri="http://schemas.openxmlformats.org/officeDocument/2006/bibliography"/>
  </ds:schemaRefs>
</ds:datastoreItem>
</file>

<file path=customXml/itemProps4.xml><?xml version="1.0" encoding="utf-8"?>
<ds:datastoreItem xmlns:ds="http://schemas.openxmlformats.org/officeDocument/2006/customXml" ds:itemID="{176D86C9-6104-4D16-965B-8587E9B55DC9}">
  <ds:schemaRefs>
    <ds:schemaRef ds:uri="http://schemas.microsoft.com/office/2006/metadata/properties"/>
    <ds:schemaRef ds:uri="http://schemas.microsoft.com/office/infopath/2007/PartnerControls"/>
    <ds:schemaRef ds:uri="07cb0ae7-4148-4484-a5b9-1e8e812e7102"/>
    <ds:schemaRef ds:uri="fb987fa5-fcff-4848-96d6-8f23839f51e0"/>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14</Pages>
  <Words>5087</Words>
  <Characters>27116</Characters>
  <Application>Microsoft Office Word</Application>
  <DocSecurity>0</DocSecurity>
  <Lines>821</Lines>
  <Paragraphs>423</Paragraphs>
  <ScaleCrop>false</ScaleCrop>
  <Company>Gloucestershire County Council</Company>
  <LinksUpToDate>false</LinksUpToDate>
  <CharactersWithSpaces>31780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negles</dc:creator>
  <cp:keywords/>
  <cp:lastModifiedBy>TRICKEY, Gary</cp:lastModifiedBy>
  <cp:revision>125</cp:revision>
  <cp:lastPrinted>2024-09-12T01:46:00Z</cp:lastPrinted>
  <dcterms:created xsi:type="dcterms:W3CDTF">2025-03-10T10:06:00Z</dcterms:created>
  <dcterms:modified xsi:type="dcterms:W3CDTF">2026-02-25T09:54:00Z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0x01010010A7D0136A150B40AC73FA77F9125DFE</vt:lpwstr>
  </property>
  <property fmtid="{D5CDD505-2E9C-101B-9397-08002B2CF9AE}" pid="3" name="ClassificationContentMarkingHeaderShapeIds">
    <vt:lpwstr>6d5cafa1,19041ea5,63f4cc0b</vt:lpwstr>
  </property>
  <property fmtid="{D5CDD505-2E9C-101B-9397-08002B2CF9AE}" pid="4" name="ClassificationContentMarkingHeaderFontProps">
    <vt:lpwstr>#000000,10,Calibri</vt:lpwstr>
  </property>
  <property fmtid="{D5CDD505-2E9C-101B-9397-08002B2CF9AE}" pid="5" name="ClassificationContentMarkingHeaderText">
    <vt:lpwstr>Official - Financial</vt:lpwstr>
  </property>
  <property fmtid="{D5CDD505-2E9C-101B-9397-08002B2CF9AE}" pid="6" name="MSIP_Label_04ac1526-9c6d-4857-86e4-a9ff5134728c_Enabled">
    <vt:lpwstr>true</vt:lpwstr>
  </property>
  <property fmtid="{D5CDD505-2E9C-101B-9397-08002B2CF9AE}" pid="7" name="MSIP_Label_04ac1526-9c6d-4857-86e4-a9ff5134728c_SetDate">
    <vt:lpwstr>2024-02-12T15:05:54Z</vt:lpwstr>
  </property>
  <property fmtid="{D5CDD505-2E9C-101B-9397-08002B2CF9AE}" pid="8" name="MSIP_Label_04ac1526-9c6d-4857-86e4-a9ff5134728c_Method">
    <vt:lpwstr>Standard</vt:lpwstr>
  </property>
  <property fmtid="{D5CDD505-2E9C-101B-9397-08002B2CF9AE}" pid="9" name="MSIP_Label_04ac1526-9c6d-4857-86e4-a9ff5134728c_Name">
    <vt:lpwstr>Of-Financial</vt:lpwstr>
  </property>
  <property fmtid="{D5CDD505-2E9C-101B-9397-08002B2CF9AE}" pid="10" name="MSIP_Label_04ac1526-9c6d-4857-86e4-a9ff5134728c_SiteId">
    <vt:lpwstr>5faec754-64e3-4014-9bcc-e72fc73ba312</vt:lpwstr>
  </property>
  <property fmtid="{D5CDD505-2E9C-101B-9397-08002B2CF9AE}" pid="11" name="MSIP_Label_04ac1526-9c6d-4857-86e4-a9ff5134728c_ActionId">
    <vt:lpwstr>e3cb50be-a23e-448a-b9f2-91fd47cc1893</vt:lpwstr>
  </property>
  <property fmtid="{D5CDD505-2E9C-101B-9397-08002B2CF9AE}" pid="12" name="MSIP_Label_04ac1526-9c6d-4857-86e4-a9ff5134728c_ContentBits">
    <vt:lpwstr>1</vt:lpwstr>
  </property>
</Properties>
</file>