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7EFB4EBE" w:rsidR="00FF5E3A" w:rsidRPr="005B0C18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8"/>
          <w:szCs w:val="28"/>
        </w:rPr>
      </w:pPr>
      <w:r w:rsidRPr="005B0C18">
        <w:rPr>
          <w:rFonts w:ascii="Mangal Pro" w:eastAsia="Mangal Pro" w:hAnsi="Mangal Pro" w:cs="Mangal Pro"/>
          <w:b/>
          <w:bCs/>
          <w:sz w:val="28"/>
          <w:szCs w:val="28"/>
        </w:rPr>
        <w:t>The Learning Env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>ironment</w:t>
      </w:r>
      <w:r w:rsidR="00E155B3" w:rsidRPr="005B0C18">
        <w:rPr>
          <w:rFonts w:ascii="Mangal Pro" w:eastAsia="Mangal Pro" w:hAnsi="Mangal Pro" w:cs="Mangal Pro"/>
          <w:b/>
          <w:bCs/>
          <w:sz w:val="28"/>
          <w:szCs w:val="28"/>
        </w:rPr>
        <w:t>: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The Physical Environment</w:t>
      </w:r>
    </w:p>
    <w:p w14:paraId="5C1E1531" w14:textId="2AEB6B79" w:rsidR="00E155B3" w:rsidRDefault="0005058A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Outdoor spaces</w:t>
      </w:r>
    </w:p>
    <w:p w14:paraId="4F4DDA3F" w14:textId="1D9DC2EC" w:rsidR="00A47FEB" w:rsidRPr="0069024B" w:rsidRDefault="005D490A" w:rsidP="0069024B">
      <w:pPr>
        <w:spacing w:before="240"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69024B">
        <w:rPr>
          <w:rFonts w:ascii="Mangal Pro" w:eastAsia="Mangal Pro" w:hAnsi="Mangal Pro" w:cs="Mangal Pro"/>
          <w:i/>
          <w:iCs/>
          <w:color w:val="auto"/>
          <w:sz w:val="18"/>
          <w:szCs w:val="18"/>
        </w:rPr>
        <w:t xml:space="preserve">“The outside world should be part of our classroom experience – there should be no dichotomy between the two. The outdoors must be given the same value as indoors…unbridled risk-taking, collaborative, expansive play, freely chosen explorations…” </w:t>
      </w:r>
      <w:r w:rsidRPr="0069024B">
        <w:rPr>
          <w:rFonts w:ascii="Mangal Pro" w:eastAsia="Mangal Pro" w:hAnsi="Mangal Pro" w:cs="Mangal Pro"/>
          <w:color w:val="auto"/>
          <w:sz w:val="18"/>
          <w:szCs w:val="18"/>
        </w:rPr>
        <w:t>Can I Go and Play Now?’ Greg Bottrill</w:t>
      </w:r>
    </w:p>
    <w:p w14:paraId="11300F44" w14:textId="32A20666" w:rsidR="00855FDC" w:rsidRPr="00070528" w:rsidRDefault="0069024B" w:rsidP="009817AD">
      <w:pPr>
        <w:spacing w:after="0"/>
        <w:rPr>
          <w:rFonts w:ascii="Mangal Pro" w:eastAsia="Mangal Pro" w:hAnsi="Mangal Pro" w:cs="Mangal Pro"/>
          <w:b/>
          <w:bCs/>
        </w:rPr>
      </w:pPr>
      <w:r>
        <w:rPr>
          <w:rFonts w:ascii="Mangal Pro" w:eastAsia="Mangal Pro" w:hAnsi="Mangal Pro" w:cs="Mangal Pro"/>
          <w:b/>
          <w:bCs/>
        </w:rPr>
        <w:t>T</w:t>
      </w:r>
      <w:r w:rsidR="00A47FEB" w:rsidRPr="00070528">
        <w:rPr>
          <w:rFonts w:ascii="Mangal Pro" w:eastAsia="Mangal Pro" w:hAnsi="Mangal Pro" w:cs="Mangal Pro"/>
          <w:b/>
          <w:bCs/>
        </w:rPr>
        <w:t>hings to consider</w:t>
      </w:r>
    </w:p>
    <w:p w14:paraId="4360858B" w14:textId="49EABE5E" w:rsidR="00A42BCB" w:rsidRPr="00783553" w:rsidRDefault="003F5945" w:rsidP="00D305BA">
      <w:pPr>
        <w:rPr>
          <w:rFonts w:ascii="Mangal Pro" w:hAnsi="Mangal Pro" w:cs="Mangal Pr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688E648A" wp14:editId="7D2F245B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067435" cy="800100"/>
            <wp:effectExtent l="0" t="0" r="0" b="0"/>
            <wp:wrapTight wrapText="bothSides">
              <wp:wrapPolygon edited="0">
                <wp:start x="771" y="0"/>
                <wp:lineTo x="0" y="1029"/>
                <wp:lineTo x="0" y="20057"/>
                <wp:lineTo x="385" y="21086"/>
                <wp:lineTo x="20816" y="21086"/>
                <wp:lineTo x="21202" y="20057"/>
                <wp:lineTo x="21202" y="1543"/>
                <wp:lineTo x="20816" y="0"/>
                <wp:lineTo x="771" y="0"/>
              </wp:wrapPolygon>
            </wp:wrapTight>
            <wp:docPr id="19439172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800100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046" w:rsidRPr="00515046">
        <w:rPr>
          <w:rFonts w:ascii="Mangal Pro" w:hAnsi="Mangal Pro" w:cs="Mangal Pro"/>
          <w:b/>
          <w:bCs/>
          <w:sz w:val="18"/>
          <w:szCs w:val="18"/>
        </w:rPr>
        <w:t>T</w:t>
      </w:r>
      <w:r w:rsidR="00EB340F" w:rsidRPr="00515046">
        <w:rPr>
          <w:rFonts w:ascii="Mangal Pro" w:hAnsi="Mangal Pro" w:cs="Mangal Pro"/>
          <w:b/>
          <w:bCs/>
          <w:sz w:val="18"/>
          <w:szCs w:val="18"/>
        </w:rPr>
        <w:t>he weather</w:t>
      </w:r>
      <w:r w:rsidR="00EB340F" w:rsidRPr="00515046">
        <w:rPr>
          <w:rFonts w:ascii="Mangal Pro" w:hAnsi="Mangal Pro" w:cs="Mangal Pro"/>
          <w:sz w:val="18"/>
          <w:szCs w:val="18"/>
        </w:rPr>
        <w:t xml:space="preserve"> – </w:t>
      </w:r>
      <w:r w:rsidR="00515046" w:rsidRPr="00515046">
        <w:rPr>
          <w:rFonts w:ascii="Mangal Pro" w:hAnsi="Mangal Pro" w:cs="Mangal Pro"/>
          <w:sz w:val="18"/>
          <w:szCs w:val="18"/>
        </w:rPr>
        <w:t>Consider how to overcome challenges</w:t>
      </w:r>
      <w:r w:rsidR="00515046">
        <w:rPr>
          <w:rFonts w:ascii="Mangal Pro" w:hAnsi="Mangal Pro" w:cs="Mangal Pro"/>
          <w:sz w:val="18"/>
          <w:szCs w:val="18"/>
        </w:rPr>
        <w:t xml:space="preserve"> relating to the weather</w:t>
      </w:r>
      <w:r w:rsidR="00515046" w:rsidRPr="00515046">
        <w:rPr>
          <w:rFonts w:ascii="Mangal Pro" w:hAnsi="Mangal Pro" w:cs="Mangal Pro"/>
          <w:sz w:val="18"/>
          <w:szCs w:val="18"/>
        </w:rPr>
        <w:t xml:space="preserve"> such as</w:t>
      </w:r>
      <w:r w:rsidR="00515046">
        <w:rPr>
          <w:rFonts w:ascii="Mangal Pro" w:hAnsi="Mangal Pro" w:cs="Mangal Pro"/>
          <w:sz w:val="18"/>
          <w:szCs w:val="18"/>
        </w:rPr>
        <w:t xml:space="preserve"> providing</w:t>
      </w:r>
      <w:r w:rsidR="00515046" w:rsidRPr="00515046">
        <w:rPr>
          <w:rFonts w:ascii="Mangal Pro" w:hAnsi="Mangal Pro" w:cs="Mangal Pro"/>
          <w:sz w:val="18"/>
          <w:szCs w:val="18"/>
        </w:rPr>
        <w:t xml:space="preserve"> </w:t>
      </w:r>
      <w:r w:rsidR="00EB340F" w:rsidRPr="00515046">
        <w:rPr>
          <w:rFonts w:ascii="Mangal Pro" w:hAnsi="Mangal Pro" w:cs="Mangal Pro"/>
          <w:sz w:val="18"/>
          <w:szCs w:val="18"/>
        </w:rPr>
        <w:t>canopies, tents, awnings. For sun protection</w:t>
      </w:r>
      <w:r w:rsidR="00515046">
        <w:rPr>
          <w:rFonts w:ascii="Mangal Pro" w:hAnsi="Mangal Pro" w:cs="Mangal Pro"/>
          <w:sz w:val="18"/>
          <w:szCs w:val="18"/>
        </w:rPr>
        <w:t>,</w:t>
      </w:r>
      <w:r w:rsidR="00EB340F" w:rsidRPr="00515046">
        <w:rPr>
          <w:rFonts w:ascii="Mangal Pro" w:hAnsi="Mangal Pro" w:cs="Mangal Pro"/>
          <w:sz w:val="18"/>
          <w:szCs w:val="18"/>
        </w:rPr>
        <w:t xml:space="preserve"> consider other ways to offer protection such as large cardboard boxes, sheets, material, pop up </w:t>
      </w:r>
      <w:r w:rsidR="00515046">
        <w:rPr>
          <w:rFonts w:ascii="Mangal Pro" w:hAnsi="Mangal Pro" w:cs="Mangal Pro"/>
          <w:sz w:val="18"/>
          <w:szCs w:val="18"/>
        </w:rPr>
        <w:t>UV</w:t>
      </w:r>
      <w:r w:rsidR="00EB340F" w:rsidRPr="00515046">
        <w:rPr>
          <w:rFonts w:ascii="Mangal Pro" w:hAnsi="Mangal Pro" w:cs="Mangal Pro"/>
          <w:sz w:val="18"/>
          <w:szCs w:val="18"/>
        </w:rPr>
        <w:t xml:space="preserve"> beach shelters </w:t>
      </w:r>
      <w:r w:rsidR="003B06C4">
        <w:rPr>
          <w:rFonts w:ascii="Mangal Pro" w:hAnsi="Mangal Pro" w:cs="Mangal Pro"/>
          <w:sz w:val="18"/>
          <w:szCs w:val="18"/>
        </w:rPr>
        <w:t>etc.</w:t>
      </w:r>
    </w:p>
    <w:p w14:paraId="2397F108" w14:textId="4D95E667" w:rsidR="00A47FEB" w:rsidRDefault="009817AD" w:rsidP="00D305BA">
      <w:pPr>
        <w:rPr>
          <w:rFonts w:ascii="Mangal Pro" w:eastAsia="Mangal Pro" w:hAnsi="Mangal Pro" w:cs="Mangal Pr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3" behindDoc="1" locked="0" layoutInCell="1" allowOverlap="1" wp14:anchorId="53158BB0" wp14:editId="0AB4D77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23950" cy="854378"/>
            <wp:effectExtent l="0" t="0" r="0" b="3175"/>
            <wp:wrapTight wrapText="bothSides">
              <wp:wrapPolygon edited="0">
                <wp:start x="732" y="0"/>
                <wp:lineTo x="0" y="964"/>
                <wp:lineTo x="0" y="20235"/>
                <wp:lineTo x="732" y="21199"/>
                <wp:lineTo x="20868" y="21199"/>
                <wp:lineTo x="21234" y="20235"/>
                <wp:lineTo x="21234" y="964"/>
                <wp:lineTo x="20502" y="0"/>
                <wp:lineTo x="732" y="0"/>
              </wp:wrapPolygon>
            </wp:wrapTight>
            <wp:docPr id="1027329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54378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35CF">
        <w:rPr>
          <w:rFonts w:ascii="Mangal Pro" w:eastAsia="Mangal Pro" w:hAnsi="Mangal Pro" w:cs="Mangal Pro"/>
          <w:b/>
          <w:bCs/>
          <w:sz w:val="18"/>
          <w:szCs w:val="18"/>
        </w:rPr>
        <w:t>Resources in your outdoor environment should reflect your current cohort</w:t>
      </w:r>
      <w:r w:rsidR="003B5349">
        <w:rPr>
          <w:rFonts w:ascii="Mangal Pro" w:eastAsia="Mangal Pro" w:hAnsi="Mangal Pro" w:cs="Mangal Pro"/>
          <w:sz w:val="18"/>
          <w:szCs w:val="18"/>
        </w:rPr>
        <w:t xml:space="preserve"> – consider</w:t>
      </w:r>
      <w:r w:rsidR="00AB6499">
        <w:rPr>
          <w:rFonts w:ascii="Mangal Pro" w:eastAsia="Mangal Pro" w:hAnsi="Mangal Pro" w:cs="Mangal Pro"/>
          <w:sz w:val="18"/>
          <w:szCs w:val="18"/>
        </w:rPr>
        <w:t xml:space="preserve"> children’s</w:t>
      </w:r>
      <w:r w:rsidR="003B5349">
        <w:rPr>
          <w:rFonts w:ascii="Mangal Pro" w:eastAsia="Mangal Pro" w:hAnsi="Mangal Pro" w:cs="Mangal Pro"/>
          <w:sz w:val="18"/>
          <w:szCs w:val="18"/>
        </w:rPr>
        <w:t xml:space="preserve"> interests</w:t>
      </w:r>
      <w:r w:rsidR="00AB6499">
        <w:rPr>
          <w:rFonts w:ascii="Mangal Pro" w:eastAsia="Mangal Pro" w:hAnsi="Mangal Pro" w:cs="Mangal Pro"/>
          <w:sz w:val="18"/>
          <w:szCs w:val="18"/>
        </w:rPr>
        <w:t xml:space="preserve"> and </w:t>
      </w:r>
      <w:r w:rsidR="003B5349">
        <w:rPr>
          <w:rFonts w:ascii="Mangal Pro" w:eastAsia="Mangal Pro" w:hAnsi="Mangal Pro" w:cs="Mangal Pro"/>
          <w:sz w:val="18"/>
          <w:szCs w:val="18"/>
        </w:rPr>
        <w:t>developmental levels when planning the area and activities</w:t>
      </w:r>
      <w:r w:rsidR="007E5B27">
        <w:rPr>
          <w:rFonts w:ascii="Mangal Pro" w:eastAsia="Mangal Pro" w:hAnsi="Mangal Pro" w:cs="Mangal Pro"/>
          <w:sz w:val="18"/>
          <w:szCs w:val="18"/>
        </w:rPr>
        <w:t>, regularly monitor and adapt</w:t>
      </w:r>
      <w:r w:rsidR="00D06B33">
        <w:rPr>
          <w:rFonts w:ascii="Mangal Pro" w:eastAsia="Mangal Pro" w:hAnsi="Mangal Pro" w:cs="Mangal Pro"/>
          <w:sz w:val="18"/>
          <w:szCs w:val="18"/>
        </w:rPr>
        <w:t>,</w:t>
      </w:r>
      <w:r w:rsidR="007E5B27">
        <w:rPr>
          <w:rFonts w:ascii="Mangal Pro" w:eastAsia="Mangal Pro" w:hAnsi="Mangal Pro" w:cs="Mangal Pro"/>
          <w:sz w:val="18"/>
          <w:szCs w:val="18"/>
        </w:rPr>
        <w:t xml:space="preserve"> changing the environment flexibly to </w:t>
      </w:r>
      <w:r w:rsidR="00D06B33">
        <w:rPr>
          <w:rFonts w:ascii="Mangal Pro" w:eastAsia="Mangal Pro" w:hAnsi="Mangal Pro" w:cs="Mangal Pro"/>
          <w:sz w:val="18"/>
          <w:szCs w:val="18"/>
        </w:rPr>
        <w:t>reflect current needs</w:t>
      </w:r>
      <w:r w:rsidR="005A7872">
        <w:rPr>
          <w:rFonts w:ascii="Mangal Pro" w:eastAsia="Mangal Pro" w:hAnsi="Mangal Pro" w:cs="Mangal Pro"/>
          <w:sz w:val="18"/>
          <w:szCs w:val="18"/>
        </w:rPr>
        <w:t xml:space="preserve"> and interests</w:t>
      </w:r>
      <w:r w:rsidR="00D06B33">
        <w:rPr>
          <w:rFonts w:ascii="Mangal Pro" w:eastAsia="Mangal Pro" w:hAnsi="Mangal Pro" w:cs="Mangal Pro"/>
          <w:sz w:val="18"/>
          <w:szCs w:val="18"/>
        </w:rPr>
        <w:t>.</w:t>
      </w:r>
    </w:p>
    <w:p w14:paraId="3292C964" w14:textId="06463581" w:rsidR="00507DD5" w:rsidRPr="00956EAC" w:rsidRDefault="003F5945" w:rsidP="00D305BA">
      <w:pPr>
        <w:rPr>
          <w:rFonts w:ascii="Mangal Pro" w:eastAsia="Mangal Pro" w:hAnsi="Mangal Pro" w:cs="Mangal Pr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9" behindDoc="1" locked="0" layoutInCell="1" allowOverlap="1" wp14:anchorId="76E2FF9D" wp14:editId="7FBA658A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187450" cy="890270"/>
            <wp:effectExtent l="0" t="0" r="0" b="5080"/>
            <wp:wrapTight wrapText="bothSides">
              <wp:wrapPolygon edited="0">
                <wp:start x="693" y="0"/>
                <wp:lineTo x="0" y="1387"/>
                <wp:lineTo x="0" y="20337"/>
                <wp:lineTo x="693" y="21261"/>
                <wp:lineTo x="20445" y="21261"/>
                <wp:lineTo x="21138" y="20337"/>
                <wp:lineTo x="21138" y="1387"/>
                <wp:lineTo x="20445" y="0"/>
                <wp:lineTo x="693" y="0"/>
              </wp:wrapPolygon>
            </wp:wrapTight>
            <wp:docPr id="1855476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90270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C0F">
        <w:rPr>
          <w:rFonts w:ascii="Mangal Pro" w:eastAsia="Mangal Pro" w:hAnsi="Mangal Pro" w:cs="Mangal Pro"/>
          <w:b/>
          <w:bCs/>
          <w:sz w:val="18"/>
          <w:szCs w:val="18"/>
        </w:rPr>
        <w:t xml:space="preserve">Your outdoor space should provide </w:t>
      </w:r>
      <w:r w:rsidR="00480E9F">
        <w:rPr>
          <w:rFonts w:ascii="Mangal Pro" w:eastAsia="Mangal Pro" w:hAnsi="Mangal Pro" w:cs="Mangal Pro"/>
          <w:b/>
          <w:bCs/>
          <w:sz w:val="18"/>
          <w:szCs w:val="18"/>
        </w:rPr>
        <w:t xml:space="preserve">continuous provision </w:t>
      </w:r>
      <w:r w:rsidR="00956EAC">
        <w:rPr>
          <w:rFonts w:ascii="Mangal Pro" w:eastAsia="Mangal Pro" w:hAnsi="Mangal Pro" w:cs="Mangal Pro"/>
          <w:b/>
          <w:bCs/>
          <w:sz w:val="18"/>
          <w:szCs w:val="18"/>
        </w:rPr>
        <w:t>–</w:t>
      </w:r>
      <w:r w:rsidR="00480E9F">
        <w:rPr>
          <w:rFonts w:ascii="Mangal Pro" w:eastAsia="Mangal Pro" w:hAnsi="Mangal Pro" w:cs="Mangal Pro"/>
          <w:b/>
          <w:bCs/>
          <w:sz w:val="18"/>
          <w:szCs w:val="18"/>
        </w:rPr>
        <w:t xml:space="preserve"> </w:t>
      </w:r>
      <w:r w:rsidR="00956EAC" w:rsidRPr="00956EAC">
        <w:rPr>
          <w:rFonts w:ascii="Mangal Pro" w:hAnsi="Mangal Pro" w:cs="Mangal Pro"/>
          <w:sz w:val="18"/>
          <w:szCs w:val="18"/>
        </w:rPr>
        <w:t xml:space="preserve">activities to promote mathematical exploration, </w:t>
      </w:r>
      <w:r w:rsidR="00956EAC">
        <w:rPr>
          <w:rFonts w:ascii="Mangal Pro" w:hAnsi="Mangal Pro" w:cs="Mangal Pro"/>
          <w:sz w:val="18"/>
          <w:szCs w:val="18"/>
        </w:rPr>
        <w:t xml:space="preserve">creative and imaginative play, </w:t>
      </w:r>
      <w:r w:rsidR="005728EB">
        <w:rPr>
          <w:rFonts w:ascii="Mangal Pro" w:hAnsi="Mangal Pro" w:cs="Mangal Pro"/>
          <w:sz w:val="18"/>
          <w:szCs w:val="18"/>
        </w:rPr>
        <w:t xml:space="preserve">communication and </w:t>
      </w:r>
      <w:r w:rsidR="00956EAC">
        <w:rPr>
          <w:rFonts w:ascii="Mangal Pro" w:hAnsi="Mangal Pro" w:cs="Mangal Pro"/>
          <w:sz w:val="18"/>
          <w:szCs w:val="18"/>
        </w:rPr>
        <w:t xml:space="preserve">social interactions, </w:t>
      </w:r>
      <w:r w:rsidR="00110796">
        <w:rPr>
          <w:rFonts w:ascii="Mangal Pro" w:hAnsi="Mangal Pro" w:cs="Mangal Pro"/>
          <w:sz w:val="18"/>
          <w:szCs w:val="18"/>
        </w:rPr>
        <w:t xml:space="preserve">sensory exploration, </w:t>
      </w:r>
      <w:r w:rsidR="005728EB">
        <w:rPr>
          <w:rFonts w:ascii="Mangal Pro" w:hAnsi="Mangal Pro" w:cs="Mangal Pro"/>
          <w:sz w:val="18"/>
          <w:szCs w:val="18"/>
        </w:rPr>
        <w:t>fine and gross motor skill development</w:t>
      </w:r>
      <w:r w:rsidR="00411D66">
        <w:rPr>
          <w:rFonts w:ascii="Mangal Pro" w:hAnsi="Mangal Pro" w:cs="Mangal Pro"/>
          <w:sz w:val="18"/>
          <w:szCs w:val="18"/>
        </w:rPr>
        <w:t xml:space="preserve">.  </w:t>
      </w:r>
      <w:r w:rsidR="009E001F">
        <w:rPr>
          <w:rFonts w:ascii="Mangal Pro" w:hAnsi="Mangal Pro" w:cs="Mangal Pro"/>
          <w:sz w:val="18"/>
          <w:szCs w:val="18"/>
        </w:rPr>
        <w:t xml:space="preserve">A variety of play opportunities such as solitary, small group, peer on peer and alongside adults. </w:t>
      </w:r>
    </w:p>
    <w:p w14:paraId="518FBF85" w14:textId="2B6B967F" w:rsidR="005E10C1" w:rsidRPr="005E10C1" w:rsidRDefault="009817AD" w:rsidP="00D305BA">
      <w:pPr>
        <w:rPr>
          <w:rFonts w:ascii="Mangal Pro" w:eastAsia="Mangal Pro" w:hAnsi="Mangal Pro" w:cs="Mangal Pro"/>
          <w:sz w:val="18"/>
          <w:szCs w:val="18"/>
        </w:rPr>
      </w:pPr>
      <w:r w:rsidRPr="00F11034">
        <w:rPr>
          <w:rFonts w:ascii="Mangal Pro" w:eastAsia="Mangal Pro" w:hAnsi="Mangal Pro" w:cs="Mangal Pro"/>
          <w:noProof/>
          <w:sz w:val="18"/>
          <w:szCs w:val="18"/>
        </w:rPr>
        <w:drawing>
          <wp:anchor distT="0" distB="0" distL="114300" distR="114300" simplePos="0" relativeHeight="251663361" behindDoc="1" locked="0" layoutInCell="1" allowOverlap="1" wp14:anchorId="504E135E" wp14:editId="7E577BA3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1847850" cy="1003300"/>
            <wp:effectExtent l="0" t="0" r="0" b="6350"/>
            <wp:wrapTight wrapText="bothSides">
              <wp:wrapPolygon edited="0">
                <wp:start x="668" y="0"/>
                <wp:lineTo x="0" y="1230"/>
                <wp:lineTo x="0" y="19686"/>
                <wp:lineTo x="445" y="21327"/>
                <wp:lineTo x="668" y="21327"/>
                <wp:lineTo x="20932" y="21327"/>
                <wp:lineTo x="21377" y="20096"/>
                <wp:lineTo x="21377" y="1230"/>
                <wp:lineTo x="20709" y="0"/>
                <wp:lineTo x="668" y="0"/>
              </wp:wrapPolygon>
            </wp:wrapTight>
            <wp:docPr id="2117775568" name="Picture 2" descr="A group of blue crates with balls in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75568" name="Picture 2" descr="A group of blue crates with balls in the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53"/>
                    <a:stretch/>
                  </pic:blipFill>
                  <pic:spPr bwMode="auto">
                    <a:xfrm>
                      <a:off x="0" y="0"/>
                      <a:ext cx="1847850" cy="10033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7" behindDoc="1" locked="0" layoutInCell="1" allowOverlap="1" wp14:anchorId="7EC67DE2" wp14:editId="0A117D43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28700" cy="770890"/>
            <wp:effectExtent l="0" t="0" r="0" b="0"/>
            <wp:wrapTight wrapText="bothSides">
              <wp:wrapPolygon edited="0">
                <wp:start x="400" y="0"/>
                <wp:lineTo x="0" y="1601"/>
                <wp:lineTo x="0" y="19750"/>
                <wp:lineTo x="400" y="20817"/>
                <wp:lineTo x="20800" y="20817"/>
                <wp:lineTo x="21200" y="19750"/>
                <wp:lineTo x="21200" y="1601"/>
                <wp:lineTo x="20800" y="0"/>
                <wp:lineTo x="400" y="0"/>
              </wp:wrapPolygon>
            </wp:wrapTight>
            <wp:docPr id="10028415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0890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2A0" w:rsidRPr="006072A0">
        <w:rPr>
          <w:rFonts w:ascii="Mangal Pro" w:eastAsia="Mangal Pro" w:hAnsi="Mangal Pro" w:cs="Mangal Pro"/>
          <w:b/>
          <w:bCs/>
          <w:sz w:val="18"/>
          <w:szCs w:val="18"/>
        </w:rPr>
        <w:t>Open ended resource ideas</w:t>
      </w:r>
      <w:r w:rsidR="006072A0">
        <w:rPr>
          <w:rFonts w:ascii="Mangal Pro" w:eastAsia="Mangal Pro" w:hAnsi="Mangal Pro" w:cs="Mangal Pro"/>
          <w:b/>
          <w:bCs/>
          <w:sz w:val="18"/>
          <w:szCs w:val="18"/>
        </w:rPr>
        <w:t xml:space="preserve"> – </w:t>
      </w:r>
      <w:r w:rsidR="006072A0" w:rsidRPr="005E10C1">
        <w:rPr>
          <w:rFonts w:ascii="Mangal Pro" w:eastAsia="Mangal Pro" w:hAnsi="Mangal Pro" w:cs="Mangal Pro"/>
          <w:sz w:val="18"/>
          <w:szCs w:val="18"/>
        </w:rPr>
        <w:t xml:space="preserve">cable drums, planks and crates, tyres, pallets, </w:t>
      </w:r>
      <w:r w:rsidR="002103F7" w:rsidRPr="005E10C1">
        <w:rPr>
          <w:rFonts w:ascii="Mangal Pro" w:eastAsia="Mangal Pro" w:hAnsi="Mangal Pro" w:cs="Mangal Pro"/>
          <w:sz w:val="18"/>
          <w:szCs w:val="18"/>
        </w:rPr>
        <w:t xml:space="preserve">guttering and </w:t>
      </w:r>
      <w:r w:rsidRPr="005E10C1">
        <w:rPr>
          <w:rFonts w:ascii="Mangal Pro" w:eastAsia="Mangal Pro" w:hAnsi="Mangal Pro" w:cs="Mangal Pro"/>
          <w:sz w:val="18"/>
          <w:szCs w:val="18"/>
        </w:rPr>
        <w:t>drainpipes</w:t>
      </w:r>
      <w:r w:rsidR="002103F7" w:rsidRPr="005E10C1">
        <w:rPr>
          <w:rFonts w:ascii="Mangal Pro" w:eastAsia="Mangal Pro" w:hAnsi="Mangal Pro" w:cs="Mangal Pro"/>
          <w:sz w:val="18"/>
          <w:szCs w:val="18"/>
        </w:rPr>
        <w:t>, pots and pans, logs</w:t>
      </w:r>
      <w:r w:rsidR="005E10C1" w:rsidRPr="005E10C1">
        <w:rPr>
          <w:rFonts w:ascii="Mangal Pro" w:eastAsia="Mangal Pro" w:hAnsi="Mangal Pro" w:cs="Mangal Pro"/>
          <w:sz w:val="18"/>
          <w:szCs w:val="18"/>
        </w:rPr>
        <w:t>.</w:t>
      </w:r>
    </w:p>
    <w:p w14:paraId="72E1721C" w14:textId="77DC419D" w:rsidR="00FD174C" w:rsidRPr="00F11034" w:rsidRDefault="00E83926" w:rsidP="002C62D1">
      <w:pPr>
        <w:rPr>
          <w:rFonts w:ascii="Mangal Pro" w:eastAsia="Mangal Pro" w:hAnsi="Mangal Pro" w:cs="Mangal Pro"/>
          <w:sz w:val="18"/>
          <w:szCs w:val="18"/>
        </w:rPr>
      </w:pPr>
      <w:r w:rsidRPr="00E83926">
        <w:rPr>
          <w:rFonts w:ascii="Mangal Pro" w:eastAsia="Mangal Pro" w:hAnsi="Mangal Pro" w:cs="Mangal Pro"/>
          <w:b/>
          <w:bCs/>
          <w:sz w:val="18"/>
          <w:szCs w:val="18"/>
        </w:rPr>
        <w:t>Consider storage and accessibility</w:t>
      </w:r>
      <w:r>
        <w:rPr>
          <w:rFonts w:ascii="Mangal Pro" w:eastAsia="Mangal Pro" w:hAnsi="Mangal Pro" w:cs="Mangal Pro"/>
          <w:sz w:val="18"/>
          <w:szCs w:val="18"/>
        </w:rPr>
        <w:t xml:space="preserve"> –</w:t>
      </w:r>
      <w:r w:rsidR="00683C67">
        <w:rPr>
          <w:rFonts w:ascii="Mangal Pro" w:eastAsia="Mangal Pro" w:hAnsi="Mangal Pro" w:cs="Mangal Pro"/>
          <w:sz w:val="18"/>
          <w:szCs w:val="18"/>
        </w:rPr>
        <w:t xml:space="preserve"> </w:t>
      </w:r>
      <w:r w:rsidR="00C51B2E">
        <w:rPr>
          <w:rFonts w:ascii="Mangal Pro" w:eastAsia="Mangal Pro" w:hAnsi="Mangal Pro" w:cs="Mangal Pro"/>
          <w:sz w:val="18"/>
          <w:szCs w:val="18"/>
        </w:rPr>
        <w:t xml:space="preserve">Consider storage areas and shelving, </w:t>
      </w:r>
      <w:r w:rsidR="00B45A62">
        <w:rPr>
          <w:rFonts w:ascii="Mangal Pro" w:eastAsia="Mangal Pro" w:hAnsi="Mangal Pro" w:cs="Mangal Pro"/>
          <w:sz w:val="18"/>
          <w:szCs w:val="18"/>
        </w:rPr>
        <w:t xml:space="preserve">ensure that this can be accessed by all children </w:t>
      </w:r>
      <w:r w:rsidR="009B66C3">
        <w:rPr>
          <w:rFonts w:ascii="Mangal Pro" w:eastAsia="Mangal Pro" w:hAnsi="Mangal Pro" w:cs="Mangal Pro"/>
          <w:sz w:val="18"/>
          <w:szCs w:val="18"/>
        </w:rPr>
        <w:t>independently.</w:t>
      </w:r>
      <w:r w:rsidR="005E39D1">
        <w:rPr>
          <w:rFonts w:ascii="Mangal Pro" w:eastAsia="Mangal Pro" w:hAnsi="Mangal Pro" w:cs="Mangal Pro"/>
          <w:sz w:val="18"/>
          <w:szCs w:val="18"/>
        </w:rPr>
        <w:t xml:space="preserve"> Add labels to bo</w:t>
      </w:r>
      <w:r w:rsidR="00F84E0D">
        <w:rPr>
          <w:rFonts w:ascii="Mangal Pro" w:eastAsia="Mangal Pro" w:hAnsi="Mangal Pro" w:cs="Mangal Pro"/>
          <w:sz w:val="18"/>
          <w:szCs w:val="18"/>
        </w:rPr>
        <w:t xml:space="preserve">xes/baskets </w:t>
      </w:r>
      <w:r w:rsidR="00677601">
        <w:rPr>
          <w:rFonts w:ascii="Mangal Pro" w:eastAsia="Mangal Pro" w:hAnsi="Mangal Pro" w:cs="Mangal Pro"/>
          <w:sz w:val="18"/>
          <w:szCs w:val="18"/>
        </w:rPr>
        <w:t xml:space="preserve">to help children take responsibility when tidying. </w:t>
      </w:r>
    </w:p>
    <w:p w14:paraId="1A1CE58E" w14:textId="67F90D13" w:rsidR="00C55D73" w:rsidRDefault="005F786B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  <w:r>
        <w:rPr>
          <w:noProof/>
        </w:rPr>
        <w:drawing>
          <wp:anchor distT="0" distB="0" distL="114300" distR="114300" simplePos="0" relativeHeight="251664385" behindDoc="1" locked="0" layoutInCell="1" allowOverlap="1" wp14:anchorId="3F80FE71" wp14:editId="02453863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972185" cy="698500"/>
            <wp:effectExtent l="3493" t="0" r="2857" b="2858"/>
            <wp:wrapTight wrapText="bothSides">
              <wp:wrapPolygon edited="0">
                <wp:start x="78" y="21119"/>
                <wp:lineTo x="501" y="21119"/>
                <wp:lineTo x="6850" y="21708"/>
                <wp:lineTo x="20394" y="21708"/>
                <wp:lineTo x="21240" y="21119"/>
                <wp:lineTo x="21240" y="1090"/>
                <wp:lineTo x="20394" y="501"/>
                <wp:lineTo x="78" y="501"/>
                <wp:lineTo x="78" y="1090"/>
                <wp:lineTo x="78" y="21119"/>
              </wp:wrapPolygon>
            </wp:wrapTight>
            <wp:docPr id="8658198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19805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8" r="18427"/>
                    <a:stretch/>
                  </pic:blipFill>
                  <pic:spPr bwMode="auto">
                    <a:xfrm rot="5400000">
                      <a:off x="0" y="0"/>
                      <a:ext cx="972185" cy="6985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7AD"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0AAB5B74">
                <wp:simplePos x="0" y="0"/>
                <wp:positionH relativeFrom="margin">
                  <wp:posOffset>819150</wp:posOffset>
                </wp:positionH>
                <wp:positionV relativeFrom="paragraph">
                  <wp:posOffset>85090</wp:posOffset>
                </wp:positionV>
                <wp:extent cx="4883150" cy="635000"/>
                <wp:effectExtent l="0" t="0" r="12700" b="12700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635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AA6CE" w14:textId="77777777" w:rsidR="00715E68" w:rsidRDefault="00D820E1" w:rsidP="00F11034">
                            <w:pPr>
                              <w:spacing w:after="0"/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</w:pPr>
                            <w:r w:rsidRPr="00715E6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</w:t>
                            </w:r>
                            <w:r w:rsidR="0054374F" w:rsidRPr="00715E6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 xml:space="preserve"> for inclusion</w:t>
                            </w:r>
                            <w:r w:rsidR="00986EAD" w:rsidRPr="00715E68"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958975" w14:textId="31573F67" w:rsidR="006D40B8" w:rsidRPr="009817AD" w:rsidRDefault="00912520" w:rsidP="00147DB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Mangal Pro" w:hAnsi="Mangal Pro" w:cs="Mangal Pro"/>
                              </w:rPr>
                            </w:pPr>
                            <w:r w:rsidRPr="00F11034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Where resources are in storage consider the use of photographic choice books.</w:t>
                            </w:r>
                          </w:p>
                          <w:p w14:paraId="0185E2F6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22B2A" w14:textId="77777777" w:rsidR="006D40B8" w:rsidRPr="00936AE5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left:0;text-align:left;margin-left:64.5pt;margin-top:6.7pt;width:384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08AA6CE" w14:textId="77777777" w:rsidR="00715E68" w:rsidRDefault="00D820E1" w:rsidP="00F11034">
                      <w:pPr>
                        <w:spacing w:after="0"/>
                        <w:jc w:val="center"/>
                        <w:rPr>
                          <w:rFonts w:ascii="Mangal Pro" w:hAnsi="Mangal Pro" w:cs="Mangal Pro"/>
                          <w:b/>
                          <w:bCs/>
                        </w:rPr>
                      </w:pPr>
                      <w:r w:rsidRPr="00715E6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</w:t>
                      </w:r>
                      <w:r w:rsidR="0054374F" w:rsidRPr="00715E6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 xml:space="preserve"> for inclusion</w:t>
                      </w:r>
                      <w:r w:rsidR="00986EAD" w:rsidRPr="00715E68">
                        <w:rPr>
                          <w:rFonts w:ascii="Mangal Pro" w:hAnsi="Mangal Pro" w:cs="Mangal Pro"/>
                          <w:b/>
                          <w:bCs/>
                        </w:rPr>
                        <w:t xml:space="preserve"> </w:t>
                      </w:r>
                    </w:p>
                    <w:p w14:paraId="1C958975" w14:textId="31573F67" w:rsidR="006D40B8" w:rsidRPr="009817AD" w:rsidRDefault="00912520" w:rsidP="00147DB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Mangal Pro" w:hAnsi="Mangal Pro" w:cs="Mangal Pro"/>
                        </w:rPr>
                      </w:pPr>
                      <w:r w:rsidRPr="00F11034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Where resources are in storage consider the use of photographic choice books.</w:t>
                      </w:r>
                    </w:p>
                    <w:p w14:paraId="0185E2F6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222B2A" w14:textId="77777777" w:rsidR="006D40B8" w:rsidRPr="00936AE5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8CB1EF" w14:textId="42DD8DB0" w:rsidR="00C55D73" w:rsidRDefault="00C55D73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51795A58" w14:textId="09D97B5B" w:rsidR="00C55D73" w:rsidRDefault="00C55D73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0BDF02A0" w14:textId="1E3430D3" w:rsidR="00C55D73" w:rsidRDefault="00912520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EE98D" wp14:editId="4222C51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02935" cy="1390650"/>
                <wp:effectExtent l="0" t="0" r="12065" b="19050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935" cy="1390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DC583" w14:textId="34DE594B" w:rsidR="0054374F" w:rsidRPr="00715E68" w:rsidRDefault="0054374F" w:rsidP="00F11034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715E6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Partnership with Parents</w:t>
                            </w:r>
                          </w:p>
                          <w:p w14:paraId="45871F17" w14:textId="29C4390F" w:rsidR="009D0896" w:rsidRPr="002C62D1" w:rsidRDefault="00345F9B" w:rsidP="002C62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6902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Children’s current interests (updated </w:t>
                            </w:r>
                            <w:r w:rsidR="006902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‘</w:t>
                            </w:r>
                            <w:r w:rsidRPr="006902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All About Me</w:t>
                            </w:r>
                            <w:r w:rsidR="006902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’</w:t>
                            </w:r>
                            <w:r w:rsidRPr="006902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, discussions</w:t>
                            </w:r>
                            <w:r w:rsidR="003D7709" w:rsidRPr="006902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, online </w:t>
                            </w:r>
                            <w:r w:rsidR="004474D0" w:rsidRPr="006902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learning journal</w:t>
                            </w:r>
                            <w:r w:rsidR="006902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05FF7A0" w14:textId="61DDB1E0" w:rsidR="00BE4905" w:rsidRDefault="002E5FB6" w:rsidP="00BA18A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69024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Discuss activities which have been </w:t>
                            </w:r>
                            <w:r w:rsidR="00FD174C" w:rsidRPr="0069024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explored during session and provide ideas for how this can be continued at home</w:t>
                            </w:r>
                          </w:p>
                          <w:p w14:paraId="103EFE02" w14:textId="4BED2421" w:rsidR="002C7218" w:rsidRPr="00BA18A3" w:rsidRDefault="002C7218" w:rsidP="00BA18A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Ensure parents are reminded and supported to provide </w:t>
                            </w:r>
                            <w:r w:rsidR="002606C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appropriate</w:t>
                            </w:r>
                            <w:r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clothing for their children</w:t>
                            </w:r>
                            <w:r w:rsidR="002606C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to access outdoors at any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left:0;text-align:left;margin-left:397.85pt;margin-top:.35pt;width:449.05pt;height:109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2A5DC583" w14:textId="34DE594B" w:rsidR="0054374F" w:rsidRPr="00715E68" w:rsidRDefault="0054374F" w:rsidP="00F11034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715E6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Partnership with Parents</w:t>
                      </w:r>
                    </w:p>
                    <w:p w14:paraId="45871F17" w14:textId="29C4390F" w:rsidR="009D0896" w:rsidRPr="002C62D1" w:rsidRDefault="00345F9B" w:rsidP="002C62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hAnsi="Mangal Pro" w:cs="Mangal Pro"/>
                          <w:sz w:val="18"/>
                          <w:szCs w:val="18"/>
                        </w:rPr>
                      </w:pPr>
                      <w:r w:rsidRPr="006902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Children’s current interests (updated </w:t>
                      </w:r>
                      <w:r w:rsidR="006902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‘</w:t>
                      </w:r>
                      <w:r w:rsidRPr="006902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All About Me</w:t>
                      </w:r>
                      <w:r w:rsidR="006902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’</w:t>
                      </w:r>
                      <w:r w:rsidRPr="006902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, discussions</w:t>
                      </w:r>
                      <w:r w:rsidR="003D7709" w:rsidRPr="006902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, online </w:t>
                      </w:r>
                      <w:r w:rsidR="004474D0" w:rsidRPr="006902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learning journal</w:t>
                      </w:r>
                      <w:r w:rsidR="006902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)</w:t>
                      </w:r>
                    </w:p>
                    <w:p w14:paraId="505FF7A0" w14:textId="61DDB1E0" w:rsidR="00BE4905" w:rsidRDefault="002E5FB6" w:rsidP="00BA18A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hAnsi="Mangal Pro" w:cs="Mangal Pro"/>
                          <w:sz w:val="18"/>
                          <w:szCs w:val="18"/>
                        </w:rPr>
                      </w:pPr>
                      <w:r w:rsidRPr="0069024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Discuss activities which have been </w:t>
                      </w:r>
                      <w:r w:rsidR="00FD174C" w:rsidRPr="0069024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explored during session and provide ideas for how this can be continued at home</w:t>
                      </w:r>
                    </w:p>
                    <w:p w14:paraId="103EFE02" w14:textId="4BED2421" w:rsidR="002C7218" w:rsidRPr="00BA18A3" w:rsidRDefault="002C7218" w:rsidP="00BA18A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Ensure parents are reminded and supported to provide </w:t>
                      </w:r>
                      <w:r w:rsidR="002606C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appropriate</w:t>
                      </w:r>
                      <w:r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clothing for their children</w:t>
                      </w:r>
                      <w:r w:rsidR="002606C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to access outdoors at any time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0D35B7" w14:textId="77777777" w:rsidR="00C55D73" w:rsidRDefault="00C55D73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2C52BBC9" w14:textId="77777777" w:rsidR="00C55D73" w:rsidRDefault="00C55D73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0FC51E2A" w14:textId="77777777" w:rsidR="00C55D73" w:rsidRDefault="00C55D73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63F2225E" w14:textId="77777777" w:rsidR="00564C64" w:rsidRDefault="00564C64" w:rsidP="00564C64">
      <w:pPr>
        <w:jc w:val="both"/>
        <w:rPr>
          <w:rFonts w:ascii="Mangal Pro" w:eastAsia="Mangal Pro" w:hAnsi="Mangal Pro" w:cs="Mangal Pro"/>
          <w:b/>
          <w:bCs/>
          <w:color w:val="auto"/>
        </w:rPr>
      </w:pPr>
      <w:r w:rsidRPr="0069024B">
        <w:rPr>
          <w:rFonts w:ascii="Mangal Pro" w:eastAsia="Mangal Pro" w:hAnsi="Mangal Pro" w:cs="Mangal Pro"/>
          <w:b/>
          <w:bCs/>
          <w:color w:val="auto"/>
        </w:rPr>
        <w:t>Helpful links and resources</w:t>
      </w:r>
    </w:p>
    <w:p w14:paraId="35516F0B" w14:textId="77B20310" w:rsidR="005F5112" w:rsidRDefault="002A2700" w:rsidP="00564C64">
      <w:pPr>
        <w:jc w:val="both"/>
      </w:pPr>
      <w:hyperlink r:id="rId17" w:history="1">
        <w:r w:rsidRPr="002A2700">
          <w:rPr>
            <w:color w:val="0000FF"/>
            <w:u w:val="single"/>
          </w:rPr>
          <w:t>Gloucestershire’s Ordinarily Available Provision (OAP) | Early Years Service</w:t>
        </w:r>
      </w:hyperlink>
    </w:p>
    <w:p w14:paraId="1E8C7789" w14:textId="2769BD54" w:rsidR="002A2700" w:rsidRDefault="00131988" w:rsidP="00564C64">
      <w:pPr>
        <w:jc w:val="both"/>
      </w:pPr>
      <w:hyperlink r:id="rId18" w:history="1">
        <w:r w:rsidRPr="00131988">
          <w:rPr>
            <w:color w:val="0000FF"/>
            <w:u w:val="single"/>
          </w:rPr>
          <w:t>Creating environments for children to play and learn – A Froebelian approach</w:t>
        </w:r>
      </w:hyperlink>
    </w:p>
    <w:p w14:paraId="44FBCDD7" w14:textId="08901B5E" w:rsidR="00131988" w:rsidRDefault="00DE540F" w:rsidP="00564C64">
      <w:pPr>
        <w:jc w:val="both"/>
        <w:rPr>
          <w:rFonts w:ascii="Mangal Pro" w:eastAsia="Mangal Pro" w:hAnsi="Mangal Pro" w:cs="Mangal Pro"/>
          <w:b/>
          <w:bCs/>
          <w:color w:val="auto"/>
        </w:rPr>
      </w:pPr>
      <w:hyperlink r:id="rId19" w:history="1">
        <w:r w:rsidRPr="00DE540F">
          <w:rPr>
            <w:color w:val="0000FF"/>
            <w:u w:val="single"/>
          </w:rPr>
          <w:t>Help for early years providers : Physical development</w:t>
        </w:r>
      </w:hyperlink>
    </w:p>
    <w:p w14:paraId="106B326B" w14:textId="77777777" w:rsidR="00C55D73" w:rsidRDefault="00C55D73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09BEA2B3" w14:textId="77777777" w:rsidR="00C55D73" w:rsidRDefault="00C55D73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1753D5CC" w14:textId="77777777" w:rsidR="00C55D73" w:rsidRDefault="00C55D73" w:rsidP="00276BDA">
      <w:pPr>
        <w:jc w:val="both"/>
        <w:rPr>
          <w:rFonts w:ascii="Mangal Pro" w:eastAsia="Mangal Pro" w:hAnsi="Mangal Pro" w:cs="Mangal Pro"/>
          <w:u w:val="single"/>
        </w:rPr>
      </w:pPr>
    </w:p>
    <w:p w14:paraId="73ECAE2A" w14:textId="77777777" w:rsidR="000B5519" w:rsidRPr="000B5519" w:rsidRDefault="000B5519" w:rsidP="000B5519">
      <w:pPr>
        <w:rPr>
          <w:rFonts w:ascii="Mangal Pro" w:eastAsia="Mangal Pro" w:hAnsi="Mangal Pro" w:cs="Mangal Pro"/>
        </w:rPr>
      </w:pPr>
    </w:p>
    <w:p w14:paraId="5F6B4D1D" w14:textId="77777777" w:rsidR="000B5519" w:rsidRDefault="000B5519" w:rsidP="000B5519">
      <w:pPr>
        <w:rPr>
          <w:rFonts w:ascii="Mangal Pro" w:eastAsia="Mangal Pro" w:hAnsi="Mangal Pro" w:cs="Mangal Pro"/>
          <w:u w:val="single"/>
        </w:rPr>
      </w:pPr>
    </w:p>
    <w:p w14:paraId="14CD68D1" w14:textId="01D51E53" w:rsidR="000B5519" w:rsidRPr="000B5519" w:rsidRDefault="000B5519" w:rsidP="000B5519">
      <w:pPr>
        <w:tabs>
          <w:tab w:val="left" w:pos="2560"/>
        </w:tabs>
        <w:rPr>
          <w:rFonts w:ascii="Mangal Pro" w:eastAsia="Mangal Pro" w:hAnsi="Mangal Pro" w:cs="Mangal Pro"/>
        </w:rPr>
      </w:pPr>
      <w:r>
        <w:rPr>
          <w:rFonts w:ascii="Mangal Pro" w:eastAsia="Mangal Pro" w:hAnsi="Mangal Pro" w:cs="Mangal Pro"/>
        </w:rPr>
        <w:tab/>
      </w:r>
    </w:p>
    <w:sectPr w:rsidR="000B5519" w:rsidRPr="000B5519" w:rsidSect="004647F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16C6" w14:textId="77777777" w:rsidR="00645A97" w:rsidRDefault="00645A97" w:rsidP="00495097">
      <w:pPr>
        <w:spacing w:after="0" w:line="240" w:lineRule="auto"/>
      </w:pPr>
      <w:r>
        <w:separator/>
      </w:r>
    </w:p>
  </w:endnote>
  <w:endnote w:type="continuationSeparator" w:id="0">
    <w:p w14:paraId="5DEBBA65" w14:textId="77777777" w:rsidR="00645A97" w:rsidRDefault="00645A97" w:rsidP="00495097">
      <w:pPr>
        <w:spacing w:after="0" w:line="240" w:lineRule="auto"/>
      </w:pPr>
      <w:r>
        <w:continuationSeparator/>
      </w:r>
    </w:p>
  </w:endnote>
  <w:endnote w:type="continuationNotice" w:id="1">
    <w:p w14:paraId="28994364" w14:textId="77777777" w:rsidR="00645A97" w:rsidRDefault="00645A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99FB" w14:textId="77777777" w:rsidR="00155D5E" w:rsidRDefault="00155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0625" w14:textId="77777777" w:rsidR="00155D5E" w:rsidRDefault="00155D5E" w:rsidP="00155D5E">
    <w:pPr>
      <w:pStyle w:val="Footer"/>
    </w:pPr>
    <w:r>
      <w:t xml:space="preserve">Early Years Service (The Learning Environment) January 2025 </w:t>
    </w:r>
  </w:p>
  <w:p w14:paraId="3AAA5B0A" w14:textId="276C5A40" w:rsidR="00155D5E" w:rsidRPr="00155D5E" w:rsidRDefault="00155D5E" w:rsidP="003541B9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B13B" w14:textId="77777777" w:rsidR="00155D5E" w:rsidRDefault="00155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A1AB" w14:textId="77777777" w:rsidR="00645A97" w:rsidRDefault="00645A97" w:rsidP="00495097">
      <w:pPr>
        <w:spacing w:after="0" w:line="240" w:lineRule="auto"/>
      </w:pPr>
      <w:r>
        <w:separator/>
      </w:r>
    </w:p>
  </w:footnote>
  <w:footnote w:type="continuationSeparator" w:id="0">
    <w:p w14:paraId="2E82D81B" w14:textId="77777777" w:rsidR="00645A97" w:rsidRDefault="00645A97" w:rsidP="00495097">
      <w:pPr>
        <w:spacing w:after="0" w:line="240" w:lineRule="auto"/>
      </w:pPr>
      <w:r>
        <w:continuationSeparator/>
      </w:r>
    </w:p>
  </w:footnote>
  <w:footnote w:type="continuationNotice" w:id="1">
    <w:p w14:paraId="3718EAE2" w14:textId="77777777" w:rsidR="00645A97" w:rsidRDefault="00645A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A38" w14:textId="21600B7E" w:rsidR="0035345F" w:rsidRDefault="00353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7CA59CB6" w:rsidR="00F44818" w:rsidRDefault="001B345B" w:rsidP="001B345B">
    <w:pPr>
      <w:pStyle w:val="Header"/>
    </w:pPr>
    <w:r w:rsidRPr="001B345B">
      <w:rPr>
        <w:rFonts w:ascii="Mangal Pro" w:hAnsi="Mangal Pro" w:cs="Mangal Pro"/>
        <w:b/>
        <w:bCs/>
      </w:rPr>
      <w:t>P.15, P.16</w:t>
    </w:r>
    <w:r>
      <w:rPr>
        <w:noProof/>
      </w:rPr>
      <w:tab/>
    </w:r>
    <w:r>
      <w:rPr>
        <w:noProof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8C43" w14:textId="52BFC11B" w:rsidR="0035345F" w:rsidRDefault="00353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77A"/>
    <w:multiLevelType w:val="hybridMultilevel"/>
    <w:tmpl w:val="AADE7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E4051"/>
    <w:multiLevelType w:val="hybridMultilevel"/>
    <w:tmpl w:val="62C45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CF5277"/>
    <w:multiLevelType w:val="hybridMultilevel"/>
    <w:tmpl w:val="E8B02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EB6C17"/>
    <w:multiLevelType w:val="hybridMultilevel"/>
    <w:tmpl w:val="E6AE1D60"/>
    <w:lvl w:ilvl="0" w:tplc="50B20BB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1"/>
  </w:num>
  <w:num w:numId="2" w16cid:durableId="1367562583">
    <w:abstractNumId w:val="5"/>
  </w:num>
  <w:num w:numId="3" w16cid:durableId="814220891">
    <w:abstractNumId w:val="2"/>
  </w:num>
  <w:num w:numId="4" w16cid:durableId="1318388276">
    <w:abstractNumId w:val="8"/>
  </w:num>
  <w:num w:numId="5" w16cid:durableId="771437801">
    <w:abstractNumId w:val="3"/>
  </w:num>
  <w:num w:numId="6" w16cid:durableId="735929899">
    <w:abstractNumId w:val="9"/>
  </w:num>
  <w:num w:numId="7" w16cid:durableId="583103536">
    <w:abstractNumId w:val="6"/>
  </w:num>
  <w:num w:numId="8" w16cid:durableId="756168674">
    <w:abstractNumId w:val="4"/>
  </w:num>
  <w:num w:numId="9" w16cid:durableId="1055272805">
    <w:abstractNumId w:val="0"/>
  </w:num>
  <w:num w:numId="10" w16cid:durableId="1605990546">
    <w:abstractNumId w:val="7"/>
  </w:num>
  <w:num w:numId="11" w16cid:durableId="970017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05907"/>
    <w:rsid w:val="00011A8A"/>
    <w:rsid w:val="00016BAA"/>
    <w:rsid w:val="00022C94"/>
    <w:rsid w:val="000314F2"/>
    <w:rsid w:val="0005058A"/>
    <w:rsid w:val="00054E0C"/>
    <w:rsid w:val="00060289"/>
    <w:rsid w:val="00070528"/>
    <w:rsid w:val="000960C9"/>
    <w:rsid w:val="000B1578"/>
    <w:rsid w:val="000B2E4C"/>
    <w:rsid w:val="000B4133"/>
    <w:rsid w:val="000B5519"/>
    <w:rsid w:val="000C1429"/>
    <w:rsid w:val="000C3380"/>
    <w:rsid w:val="000C4CD1"/>
    <w:rsid w:val="000D0E3E"/>
    <w:rsid w:val="000E312A"/>
    <w:rsid w:val="001023A2"/>
    <w:rsid w:val="00104E71"/>
    <w:rsid w:val="00110796"/>
    <w:rsid w:val="00112DAE"/>
    <w:rsid w:val="00114376"/>
    <w:rsid w:val="00131988"/>
    <w:rsid w:val="00136B0C"/>
    <w:rsid w:val="001463A7"/>
    <w:rsid w:val="00147DB2"/>
    <w:rsid w:val="001514CA"/>
    <w:rsid w:val="00152763"/>
    <w:rsid w:val="00155D5E"/>
    <w:rsid w:val="00161F02"/>
    <w:rsid w:val="00162DFE"/>
    <w:rsid w:val="0016413A"/>
    <w:rsid w:val="0018373A"/>
    <w:rsid w:val="001867BA"/>
    <w:rsid w:val="001B345B"/>
    <w:rsid w:val="001B4B85"/>
    <w:rsid w:val="001C7A0B"/>
    <w:rsid w:val="001D5B85"/>
    <w:rsid w:val="001E6B42"/>
    <w:rsid w:val="001F3696"/>
    <w:rsid w:val="002103F7"/>
    <w:rsid w:val="00217530"/>
    <w:rsid w:val="00221BCC"/>
    <w:rsid w:val="00235568"/>
    <w:rsid w:val="0024583C"/>
    <w:rsid w:val="00250C89"/>
    <w:rsid w:val="0025702D"/>
    <w:rsid w:val="002606CB"/>
    <w:rsid w:val="0026267C"/>
    <w:rsid w:val="00262A7C"/>
    <w:rsid w:val="00263A24"/>
    <w:rsid w:val="002726A9"/>
    <w:rsid w:val="00276BDA"/>
    <w:rsid w:val="00291C3E"/>
    <w:rsid w:val="002973A3"/>
    <w:rsid w:val="002A2700"/>
    <w:rsid w:val="002A3CE5"/>
    <w:rsid w:val="002B4ADF"/>
    <w:rsid w:val="002C62D1"/>
    <w:rsid w:val="002C7218"/>
    <w:rsid w:val="002D1A8D"/>
    <w:rsid w:val="002E2322"/>
    <w:rsid w:val="002E5FB6"/>
    <w:rsid w:val="00301F0F"/>
    <w:rsid w:val="003034F9"/>
    <w:rsid w:val="00326323"/>
    <w:rsid w:val="0033180A"/>
    <w:rsid w:val="0033577E"/>
    <w:rsid w:val="003412A3"/>
    <w:rsid w:val="00345F9B"/>
    <w:rsid w:val="0034657E"/>
    <w:rsid w:val="003467C5"/>
    <w:rsid w:val="003472C1"/>
    <w:rsid w:val="0035345F"/>
    <w:rsid w:val="00353C21"/>
    <w:rsid w:val="003541B9"/>
    <w:rsid w:val="00364C2C"/>
    <w:rsid w:val="003665C7"/>
    <w:rsid w:val="003A662D"/>
    <w:rsid w:val="003B06C4"/>
    <w:rsid w:val="003B1E55"/>
    <w:rsid w:val="003B5349"/>
    <w:rsid w:val="003C1DA4"/>
    <w:rsid w:val="003C73E4"/>
    <w:rsid w:val="003D4568"/>
    <w:rsid w:val="003D7709"/>
    <w:rsid w:val="003E4330"/>
    <w:rsid w:val="003F0AC6"/>
    <w:rsid w:val="003F5945"/>
    <w:rsid w:val="00411D66"/>
    <w:rsid w:val="0041442C"/>
    <w:rsid w:val="00421A8C"/>
    <w:rsid w:val="004443AD"/>
    <w:rsid w:val="004474D0"/>
    <w:rsid w:val="00455566"/>
    <w:rsid w:val="004566D6"/>
    <w:rsid w:val="00456834"/>
    <w:rsid w:val="004647FC"/>
    <w:rsid w:val="00472B82"/>
    <w:rsid w:val="00480E9F"/>
    <w:rsid w:val="00485DCD"/>
    <w:rsid w:val="00495097"/>
    <w:rsid w:val="004D5467"/>
    <w:rsid w:val="004D6AE0"/>
    <w:rsid w:val="004F5111"/>
    <w:rsid w:val="00504722"/>
    <w:rsid w:val="00505B6E"/>
    <w:rsid w:val="00507DD5"/>
    <w:rsid w:val="00515046"/>
    <w:rsid w:val="00517F98"/>
    <w:rsid w:val="005200D0"/>
    <w:rsid w:val="005225BA"/>
    <w:rsid w:val="0054374F"/>
    <w:rsid w:val="0056428B"/>
    <w:rsid w:val="00564C64"/>
    <w:rsid w:val="0057183A"/>
    <w:rsid w:val="005728EB"/>
    <w:rsid w:val="0057484D"/>
    <w:rsid w:val="00576398"/>
    <w:rsid w:val="005827E2"/>
    <w:rsid w:val="00585920"/>
    <w:rsid w:val="005873F0"/>
    <w:rsid w:val="00590EB3"/>
    <w:rsid w:val="005A7872"/>
    <w:rsid w:val="005B0C18"/>
    <w:rsid w:val="005B6FF3"/>
    <w:rsid w:val="005C6EB7"/>
    <w:rsid w:val="005D391D"/>
    <w:rsid w:val="005D490A"/>
    <w:rsid w:val="005E10C1"/>
    <w:rsid w:val="005E384D"/>
    <w:rsid w:val="005E39D1"/>
    <w:rsid w:val="005F5112"/>
    <w:rsid w:val="005F786B"/>
    <w:rsid w:val="00603109"/>
    <w:rsid w:val="006072A0"/>
    <w:rsid w:val="00607DA2"/>
    <w:rsid w:val="00622D05"/>
    <w:rsid w:val="0064152C"/>
    <w:rsid w:val="006420F9"/>
    <w:rsid w:val="006441B9"/>
    <w:rsid w:val="00645A97"/>
    <w:rsid w:val="0066742D"/>
    <w:rsid w:val="00677601"/>
    <w:rsid w:val="0068316E"/>
    <w:rsid w:val="00683C67"/>
    <w:rsid w:val="00685FCD"/>
    <w:rsid w:val="0069024B"/>
    <w:rsid w:val="00691F7C"/>
    <w:rsid w:val="006A3890"/>
    <w:rsid w:val="006A4132"/>
    <w:rsid w:val="006D40B8"/>
    <w:rsid w:val="006E1E06"/>
    <w:rsid w:val="0070611F"/>
    <w:rsid w:val="00706C2B"/>
    <w:rsid w:val="0071241A"/>
    <w:rsid w:val="00712604"/>
    <w:rsid w:val="00715E68"/>
    <w:rsid w:val="00737F00"/>
    <w:rsid w:val="00740DA5"/>
    <w:rsid w:val="00745F3F"/>
    <w:rsid w:val="00753EC2"/>
    <w:rsid w:val="007540EB"/>
    <w:rsid w:val="007545E0"/>
    <w:rsid w:val="00755F56"/>
    <w:rsid w:val="00764420"/>
    <w:rsid w:val="00766C4B"/>
    <w:rsid w:val="007713E0"/>
    <w:rsid w:val="00771DD3"/>
    <w:rsid w:val="00773DCF"/>
    <w:rsid w:val="00775230"/>
    <w:rsid w:val="00783553"/>
    <w:rsid w:val="007841E9"/>
    <w:rsid w:val="00785C07"/>
    <w:rsid w:val="00793A22"/>
    <w:rsid w:val="007956A1"/>
    <w:rsid w:val="007A48D1"/>
    <w:rsid w:val="007A5B32"/>
    <w:rsid w:val="007C1BE8"/>
    <w:rsid w:val="007C26E9"/>
    <w:rsid w:val="007D1E37"/>
    <w:rsid w:val="007E5B27"/>
    <w:rsid w:val="007F36FC"/>
    <w:rsid w:val="007F3A1F"/>
    <w:rsid w:val="00804706"/>
    <w:rsid w:val="00807338"/>
    <w:rsid w:val="00834038"/>
    <w:rsid w:val="008351D7"/>
    <w:rsid w:val="00851CC1"/>
    <w:rsid w:val="00855FDC"/>
    <w:rsid w:val="00863BB1"/>
    <w:rsid w:val="008668F3"/>
    <w:rsid w:val="00866CF1"/>
    <w:rsid w:val="00873BB4"/>
    <w:rsid w:val="00875FFC"/>
    <w:rsid w:val="008A1414"/>
    <w:rsid w:val="008A4256"/>
    <w:rsid w:val="008B7EBA"/>
    <w:rsid w:val="008C0452"/>
    <w:rsid w:val="008C093C"/>
    <w:rsid w:val="008D5F88"/>
    <w:rsid w:val="008E1C12"/>
    <w:rsid w:val="008E7A53"/>
    <w:rsid w:val="008F50B4"/>
    <w:rsid w:val="00906041"/>
    <w:rsid w:val="00907152"/>
    <w:rsid w:val="00912520"/>
    <w:rsid w:val="009216FD"/>
    <w:rsid w:val="00936AE5"/>
    <w:rsid w:val="00943553"/>
    <w:rsid w:val="00955362"/>
    <w:rsid w:val="0095586B"/>
    <w:rsid w:val="00955F7D"/>
    <w:rsid w:val="00956EAC"/>
    <w:rsid w:val="00957014"/>
    <w:rsid w:val="00966E79"/>
    <w:rsid w:val="00971BDA"/>
    <w:rsid w:val="0097314D"/>
    <w:rsid w:val="009817AD"/>
    <w:rsid w:val="009829C1"/>
    <w:rsid w:val="00986EAD"/>
    <w:rsid w:val="009A6715"/>
    <w:rsid w:val="009A6F31"/>
    <w:rsid w:val="009B3BE8"/>
    <w:rsid w:val="009B66C3"/>
    <w:rsid w:val="009C4613"/>
    <w:rsid w:val="009D0896"/>
    <w:rsid w:val="009E001F"/>
    <w:rsid w:val="009F2FE2"/>
    <w:rsid w:val="00A072A9"/>
    <w:rsid w:val="00A12C9A"/>
    <w:rsid w:val="00A274C5"/>
    <w:rsid w:val="00A361DF"/>
    <w:rsid w:val="00A378C4"/>
    <w:rsid w:val="00A42BCB"/>
    <w:rsid w:val="00A44E4C"/>
    <w:rsid w:val="00A47FEB"/>
    <w:rsid w:val="00A62691"/>
    <w:rsid w:val="00A80C34"/>
    <w:rsid w:val="00A858DC"/>
    <w:rsid w:val="00A96677"/>
    <w:rsid w:val="00AA1BC1"/>
    <w:rsid w:val="00AA1DE0"/>
    <w:rsid w:val="00AA5CE6"/>
    <w:rsid w:val="00AB6499"/>
    <w:rsid w:val="00AC00C5"/>
    <w:rsid w:val="00AD06EB"/>
    <w:rsid w:val="00AD41A4"/>
    <w:rsid w:val="00AE3ABE"/>
    <w:rsid w:val="00B054D7"/>
    <w:rsid w:val="00B06578"/>
    <w:rsid w:val="00B175B5"/>
    <w:rsid w:val="00B235CF"/>
    <w:rsid w:val="00B4366C"/>
    <w:rsid w:val="00B45A62"/>
    <w:rsid w:val="00B60624"/>
    <w:rsid w:val="00B634EF"/>
    <w:rsid w:val="00B82701"/>
    <w:rsid w:val="00B84D40"/>
    <w:rsid w:val="00B862C6"/>
    <w:rsid w:val="00B900DF"/>
    <w:rsid w:val="00BA18A3"/>
    <w:rsid w:val="00BA6565"/>
    <w:rsid w:val="00BB32D5"/>
    <w:rsid w:val="00BB65B3"/>
    <w:rsid w:val="00BD05B1"/>
    <w:rsid w:val="00BD4149"/>
    <w:rsid w:val="00BE4905"/>
    <w:rsid w:val="00BF35CB"/>
    <w:rsid w:val="00C14973"/>
    <w:rsid w:val="00C25D10"/>
    <w:rsid w:val="00C35D5C"/>
    <w:rsid w:val="00C37314"/>
    <w:rsid w:val="00C404EC"/>
    <w:rsid w:val="00C45005"/>
    <w:rsid w:val="00C51B2E"/>
    <w:rsid w:val="00C55D73"/>
    <w:rsid w:val="00C86226"/>
    <w:rsid w:val="00C862FD"/>
    <w:rsid w:val="00C959CD"/>
    <w:rsid w:val="00CA30B4"/>
    <w:rsid w:val="00CA4B0F"/>
    <w:rsid w:val="00CA6ACE"/>
    <w:rsid w:val="00CB090E"/>
    <w:rsid w:val="00CB7538"/>
    <w:rsid w:val="00CD7369"/>
    <w:rsid w:val="00CF5639"/>
    <w:rsid w:val="00D02CC4"/>
    <w:rsid w:val="00D06B33"/>
    <w:rsid w:val="00D07C29"/>
    <w:rsid w:val="00D14E37"/>
    <w:rsid w:val="00D305BA"/>
    <w:rsid w:val="00D820E1"/>
    <w:rsid w:val="00D87ABF"/>
    <w:rsid w:val="00DB1E39"/>
    <w:rsid w:val="00DC7D32"/>
    <w:rsid w:val="00DE540F"/>
    <w:rsid w:val="00DF11CC"/>
    <w:rsid w:val="00DF5F20"/>
    <w:rsid w:val="00E06D4C"/>
    <w:rsid w:val="00E106CD"/>
    <w:rsid w:val="00E10CD2"/>
    <w:rsid w:val="00E155B3"/>
    <w:rsid w:val="00E27631"/>
    <w:rsid w:val="00E3070E"/>
    <w:rsid w:val="00E3522A"/>
    <w:rsid w:val="00E40DD0"/>
    <w:rsid w:val="00E4592D"/>
    <w:rsid w:val="00E605FD"/>
    <w:rsid w:val="00E76908"/>
    <w:rsid w:val="00E83926"/>
    <w:rsid w:val="00E84EB2"/>
    <w:rsid w:val="00E85F2A"/>
    <w:rsid w:val="00E92020"/>
    <w:rsid w:val="00EA1CDF"/>
    <w:rsid w:val="00EB16D4"/>
    <w:rsid w:val="00EB340F"/>
    <w:rsid w:val="00EB4479"/>
    <w:rsid w:val="00EB4E81"/>
    <w:rsid w:val="00EB7555"/>
    <w:rsid w:val="00EC370B"/>
    <w:rsid w:val="00EC54C1"/>
    <w:rsid w:val="00ED0438"/>
    <w:rsid w:val="00ED1231"/>
    <w:rsid w:val="00EF640C"/>
    <w:rsid w:val="00EF65EC"/>
    <w:rsid w:val="00F01807"/>
    <w:rsid w:val="00F11034"/>
    <w:rsid w:val="00F27066"/>
    <w:rsid w:val="00F34DB8"/>
    <w:rsid w:val="00F44818"/>
    <w:rsid w:val="00F476FC"/>
    <w:rsid w:val="00F601A9"/>
    <w:rsid w:val="00F62D31"/>
    <w:rsid w:val="00F654FB"/>
    <w:rsid w:val="00F81BA1"/>
    <w:rsid w:val="00F81C0F"/>
    <w:rsid w:val="00F84E0D"/>
    <w:rsid w:val="00F95695"/>
    <w:rsid w:val="00F9647A"/>
    <w:rsid w:val="00FC5B0F"/>
    <w:rsid w:val="00FD174C"/>
    <w:rsid w:val="00FF5E3A"/>
    <w:rsid w:val="0127A56F"/>
    <w:rsid w:val="012A0C72"/>
    <w:rsid w:val="03E51C78"/>
    <w:rsid w:val="10956DED"/>
    <w:rsid w:val="10B4D24E"/>
    <w:rsid w:val="148A764C"/>
    <w:rsid w:val="16C6308E"/>
    <w:rsid w:val="1732995B"/>
    <w:rsid w:val="192FA68E"/>
    <w:rsid w:val="194DB79D"/>
    <w:rsid w:val="1E3A78CB"/>
    <w:rsid w:val="1F287F81"/>
    <w:rsid w:val="227AAC0F"/>
    <w:rsid w:val="26E4CF53"/>
    <w:rsid w:val="2A7E7F5B"/>
    <w:rsid w:val="2ACD7643"/>
    <w:rsid w:val="30B32F8B"/>
    <w:rsid w:val="31A5610F"/>
    <w:rsid w:val="33F9E015"/>
    <w:rsid w:val="343CABF5"/>
    <w:rsid w:val="35CF0960"/>
    <w:rsid w:val="3A9045C0"/>
    <w:rsid w:val="3C0DDB9F"/>
    <w:rsid w:val="3D3B5DD1"/>
    <w:rsid w:val="43AAC251"/>
    <w:rsid w:val="4417F165"/>
    <w:rsid w:val="46775F0E"/>
    <w:rsid w:val="46AF17F6"/>
    <w:rsid w:val="487E3374"/>
    <w:rsid w:val="4A854630"/>
    <w:rsid w:val="4AB37054"/>
    <w:rsid w:val="4B59DFF9"/>
    <w:rsid w:val="4E630B8F"/>
    <w:rsid w:val="4FA34C6B"/>
    <w:rsid w:val="5096C640"/>
    <w:rsid w:val="527D1B30"/>
    <w:rsid w:val="53FCB3E4"/>
    <w:rsid w:val="543A9FA9"/>
    <w:rsid w:val="55E75C0E"/>
    <w:rsid w:val="5CE74446"/>
    <w:rsid w:val="5E4262F7"/>
    <w:rsid w:val="5EAF920B"/>
    <w:rsid w:val="5FDE3358"/>
    <w:rsid w:val="60F60EF9"/>
    <w:rsid w:val="6B929533"/>
    <w:rsid w:val="755AA1BA"/>
    <w:rsid w:val="7A022188"/>
    <w:rsid w:val="7C063736"/>
    <w:rsid w:val="7C7ED373"/>
    <w:rsid w:val="7D300F41"/>
    <w:rsid w:val="7D658BFB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0C680678-1B29-46E5-92D5-527154F3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3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C3731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froebel.org.uk/uploads/documents/FT_Creating_Environments_For_Children_pamphlet_WEB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loucestershire.gov.uk/early-years-service/information-for-providers/gloucestershire-s-ordinarily-available-provision-oap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help-for-early-years-providers.education.gov.uk/areas-of-learning/physical-develop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8212C-43EB-4BF2-9010-B1ECF092FBE9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90c2d67-7679-46c9-b24b-24bd8dbf062a"/>
    <ds:schemaRef ds:uri="http://schemas.openxmlformats.org/package/2006/metadata/core-properties"/>
    <ds:schemaRef ds:uri="1b1510d7-ad43-49b0-969d-ae5184f54a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850AC8-9A92-4199-A958-F85EF17B2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15A21-7DD1-4CB7-B7EB-09C2F40C0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234</cp:revision>
  <cp:lastPrinted>2025-03-25T12:44:00Z</cp:lastPrinted>
  <dcterms:created xsi:type="dcterms:W3CDTF">2024-06-18T03:01:00Z</dcterms:created>
  <dcterms:modified xsi:type="dcterms:W3CDTF">2025-04-25T12:27:00Z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