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996C3" w14:textId="77777777" w:rsidR="00FE5B9D" w:rsidRPr="00FE5B9D" w:rsidRDefault="00FE5B9D" w:rsidP="00FE5B9D">
      <w:pPr>
        <w:ind w:firstLine="0"/>
        <w:rPr>
          <w:rFonts w:ascii="Arial" w:hAnsi="Arial" w:cs="Arial"/>
          <w:sz w:val="28"/>
          <w:szCs w:val="28"/>
        </w:rPr>
      </w:pPr>
      <w:r w:rsidRPr="00FE5B9D">
        <w:rPr>
          <w:rFonts w:ascii="Arial" w:hAnsi="Arial" w:cs="Arial"/>
          <w:sz w:val="28"/>
          <w:szCs w:val="28"/>
        </w:rPr>
        <w:t xml:space="preserve">Emma is a </w:t>
      </w:r>
      <w:proofErr w:type="gramStart"/>
      <w:r w:rsidRPr="00FE5B9D">
        <w:rPr>
          <w:rFonts w:ascii="Arial" w:hAnsi="Arial" w:cs="Arial"/>
          <w:sz w:val="28"/>
          <w:szCs w:val="28"/>
        </w:rPr>
        <w:t>27 year old</w:t>
      </w:r>
      <w:proofErr w:type="gramEnd"/>
      <w:r w:rsidRPr="00FE5B9D">
        <w:rPr>
          <w:rFonts w:ascii="Arial" w:hAnsi="Arial" w:cs="Arial"/>
          <w:sz w:val="28"/>
          <w:szCs w:val="28"/>
        </w:rPr>
        <w:t xml:space="preserve"> white woman. She was in care as a child from the age of 13 due to familial sexual abuse. She is described as having a mild learning disability, foetal alcohol syndrome and a diagnosis of Emotionally Unstable Personality Disorder. She misuses alcohol and when intoxicated she is vulnerable to sexual and financial exploitation, </w:t>
      </w:r>
      <w:proofErr w:type="gramStart"/>
      <w:r w:rsidRPr="00FE5B9D">
        <w:rPr>
          <w:rFonts w:ascii="Arial" w:hAnsi="Arial" w:cs="Arial"/>
          <w:sz w:val="28"/>
          <w:szCs w:val="28"/>
        </w:rPr>
        <w:t>and also</w:t>
      </w:r>
      <w:proofErr w:type="gramEnd"/>
      <w:r w:rsidRPr="00FE5B9D">
        <w:rPr>
          <w:rFonts w:ascii="Arial" w:hAnsi="Arial" w:cs="Arial"/>
          <w:sz w:val="28"/>
          <w:szCs w:val="28"/>
        </w:rPr>
        <w:t xml:space="preserve"> experiences seizures when under the influence of alcohol. She has gone to railway bridges in the area on more than one occasion and has threatened to jump, requiring police intervention. She has had numerous self-harm episodes and is a frequent attender at A&amp;E; in </w:t>
      </w:r>
      <w:proofErr w:type="gramStart"/>
      <w:r w:rsidRPr="00FE5B9D">
        <w:rPr>
          <w:rFonts w:ascii="Arial" w:hAnsi="Arial" w:cs="Arial"/>
          <w:sz w:val="28"/>
          <w:szCs w:val="28"/>
        </w:rPr>
        <w:t>addition</w:t>
      </w:r>
      <w:proofErr w:type="gramEnd"/>
      <w:r w:rsidRPr="00FE5B9D">
        <w:rPr>
          <w:rFonts w:ascii="Arial" w:hAnsi="Arial" w:cs="Arial"/>
          <w:sz w:val="28"/>
          <w:szCs w:val="28"/>
        </w:rPr>
        <w:t xml:space="preserve"> she has been involved in criminal activity, including theft and assault. Professionals have struggled to find ways to engage Emma as she refuses all offers of help. </w:t>
      </w:r>
    </w:p>
    <w:p w14:paraId="11C9A104" w14:textId="77777777" w:rsidR="00FE5B9D" w:rsidRPr="00FE5B9D" w:rsidRDefault="00FE5B9D" w:rsidP="00FE5B9D">
      <w:pPr>
        <w:ind w:firstLine="0"/>
        <w:rPr>
          <w:rFonts w:ascii="Arial" w:hAnsi="Arial" w:cs="Arial"/>
          <w:sz w:val="28"/>
          <w:szCs w:val="28"/>
        </w:rPr>
      </w:pPr>
    </w:p>
    <w:p w14:paraId="7F32D8C3" w14:textId="77777777" w:rsidR="00FE5B9D" w:rsidRPr="00FE5B9D" w:rsidRDefault="00FE5B9D" w:rsidP="00FE5B9D">
      <w:pPr>
        <w:ind w:firstLine="0"/>
        <w:rPr>
          <w:rFonts w:ascii="Arial" w:hAnsi="Arial" w:cs="Arial"/>
          <w:sz w:val="28"/>
          <w:szCs w:val="28"/>
        </w:rPr>
      </w:pPr>
      <w:r w:rsidRPr="00FE5B9D">
        <w:rPr>
          <w:rFonts w:ascii="Arial" w:hAnsi="Arial" w:cs="Arial"/>
          <w:sz w:val="28"/>
          <w:szCs w:val="28"/>
        </w:rPr>
        <w:t xml:space="preserve">Numerous safeguarding enquiries had been undertaken but had little impact on reducing the level of risk Emma was experiencing. She was then referred to the </w:t>
      </w:r>
      <w:proofErr w:type="gramStart"/>
      <w:r w:rsidRPr="00FE5B9D">
        <w:rPr>
          <w:rFonts w:ascii="Arial" w:hAnsi="Arial" w:cs="Arial"/>
          <w:sz w:val="28"/>
          <w:szCs w:val="28"/>
        </w:rPr>
        <w:t>High Risk</w:t>
      </w:r>
      <w:proofErr w:type="gramEnd"/>
      <w:r w:rsidRPr="00FE5B9D">
        <w:rPr>
          <w:rFonts w:ascii="Arial" w:hAnsi="Arial" w:cs="Arial"/>
          <w:sz w:val="28"/>
          <w:szCs w:val="28"/>
        </w:rPr>
        <w:t xml:space="preserve"> Behaviours Panel and a meeting was convened under this policy, chaired by a practitioner in the safeguarding team. Emma was offered an advocate to support her through this </w:t>
      </w:r>
      <w:proofErr w:type="gramStart"/>
      <w:r w:rsidRPr="00FE5B9D">
        <w:rPr>
          <w:rFonts w:ascii="Arial" w:hAnsi="Arial" w:cs="Arial"/>
          <w:sz w:val="28"/>
          <w:szCs w:val="28"/>
        </w:rPr>
        <w:t>process</w:t>
      </w:r>
      <w:proofErr w:type="gramEnd"/>
      <w:r w:rsidRPr="00FE5B9D">
        <w:rPr>
          <w:rFonts w:ascii="Arial" w:hAnsi="Arial" w:cs="Arial"/>
          <w:sz w:val="28"/>
          <w:szCs w:val="28"/>
        </w:rPr>
        <w:t xml:space="preserve"> but she refused and also would not attend the meetings. Senior professionals from relevant statutory and voluntary agencies across the county were invited, as well as frontline workers, to consider any other actions that could be taken. </w:t>
      </w:r>
    </w:p>
    <w:p w14:paraId="5CB2A786" w14:textId="77777777" w:rsidR="00FE5B9D" w:rsidRPr="00FE5B9D" w:rsidRDefault="00FE5B9D" w:rsidP="00FE5B9D">
      <w:pPr>
        <w:ind w:firstLine="0"/>
        <w:rPr>
          <w:rFonts w:ascii="Arial" w:hAnsi="Arial" w:cs="Arial"/>
          <w:sz w:val="28"/>
          <w:szCs w:val="28"/>
        </w:rPr>
      </w:pPr>
    </w:p>
    <w:p w14:paraId="4CD1B518" w14:textId="77777777" w:rsidR="00FE5B9D" w:rsidRPr="00FE5B9D" w:rsidRDefault="00FE5B9D" w:rsidP="00FE5B9D">
      <w:pPr>
        <w:ind w:firstLine="0"/>
        <w:rPr>
          <w:rFonts w:ascii="Arial" w:hAnsi="Arial" w:cs="Arial"/>
          <w:sz w:val="28"/>
          <w:szCs w:val="28"/>
        </w:rPr>
      </w:pPr>
      <w:r w:rsidRPr="00FE5B9D">
        <w:rPr>
          <w:rFonts w:ascii="Arial" w:hAnsi="Arial" w:cs="Arial"/>
          <w:sz w:val="28"/>
          <w:szCs w:val="28"/>
        </w:rPr>
        <w:t>It was established through information gathering that Emma was due in court having been charged with assault and the safeguarding practitioner liaised with the criminal justice liaison team regarding Emma’s progress.</w:t>
      </w:r>
    </w:p>
    <w:p w14:paraId="241D2566" w14:textId="77777777" w:rsidR="00FE5B9D" w:rsidRPr="00FE5B9D" w:rsidRDefault="00FE5B9D" w:rsidP="00FE5B9D">
      <w:pPr>
        <w:ind w:firstLine="0"/>
        <w:rPr>
          <w:rFonts w:ascii="Arial" w:hAnsi="Arial" w:cs="Arial"/>
          <w:sz w:val="28"/>
          <w:szCs w:val="28"/>
        </w:rPr>
      </w:pPr>
    </w:p>
    <w:p w14:paraId="0D307F11" w14:textId="77777777" w:rsidR="00FE5B9D" w:rsidRPr="00FE5B9D" w:rsidRDefault="00FE5B9D" w:rsidP="00FE5B9D">
      <w:pPr>
        <w:ind w:firstLine="0"/>
        <w:rPr>
          <w:rFonts w:ascii="Arial" w:hAnsi="Arial" w:cs="Arial"/>
          <w:sz w:val="28"/>
          <w:szCs w:val="28"/>
        </w:rPr>
      </w:pPr>
      <w:r w:rsidRPr="00FE5B9D">
        <w:rPr>
          <w:rFonts w:ascii="Arial" w:hAnsi="Arial" w:cs="Arial"/>
          <w:sz w:val="28"/>
          <w:szCs w:val="28"/>
        </w:rPr>
        <w:t xml:space="preserve">At the first meeting, professionals were at a loss as to what else could be offered to Emma to help reduce the risks to her. </w:t>
      </w:r>
      <w:proofErr w:type="gramStart"/>
      <w:r w:rsidRPr="00FE5B9D">
        <w:rPr>
          <w:rFonts w:ascii="Arial" w:hAnsi="Arial" w:cs="Arial"/>
          <w:sz w:val="28"/>
          <w:szCs w:val="28"/>
        </w:rPr>
        <w:t>However</w:t>
      </w:r>
      <w:proofErr w:type="gramEnd"/>
      <w:r w:rsidRPr="00FE5B9D">
        <w:rPr>
          <w:rFonts w:ascii="Arial" w:hAnsi="Arial" w:cs="Arial"/>
          <w:sz w:val="28"/>
          <w:szCs w:val="28"/>
        </w:rPr>
        <w:t xml:space="preserve"> there was a helpful discussion about the impact of childhood sexual abuse on Emma being a likely significant factor in her presentation currently. Agencies all agreed that frontline workers needed to take a trauma-informed approach to working with her, and the Nelson Trust agreed to try to </w:t>
      </w:r>
      <w:proofErr w:type="gramStart"/>
      <w:r w:rsidRPr="00FE5B9D">
        <w:rPr>
          <w:rFonts w:ascii="Arial" w:hAnsi="Arial" w:cs="Arial"/>
          <w:sz w:val="28"/>
          <w:szCs w:val="28"/>
        </w:rPr>
        <w:t>make contact with</w:t>
      </w:r>
      <w:proofErr w:type="gramEnd"/>
      <w:r w:rsidRPr="00FE5B9D">
        <w:rPr>
          <w:rFonts w:ascii="Arial" w:hAnsi="Arial" w:cs="Arial"/>
          <w:sz w:val="28"/>
          <w:szCs w:val="28"/>
        </w:rPr>
        <w:t xml:space="preserve"> Emma to see if they could offer her support.</w:t>
      </w:r>
    </w:p>
    <w:p w14:paraId="18876DD2" w14:textId="77777777" w:rsidR="00FE5B9D" w:rsidRPr="00FE5B9D" w:rsidRDefault="00FE5B9D" w:rsidP="00FE5B9D">
      <w:pPr>
        <w:ind w:firstLine="0"/>
        <w:rPr>
          <w:rFonts w:ascii="Arial" w:hAnsi="Arial" w:cs="Arial"/>
          <w:sz w:val="28"/>
          <w:szCs w:val="28"/>
        </w:rPr>
      </w:pPr>
    </w:p>
    <w:p w14:paraId="1E8CBF13" w14:textId="77777777" w:rsidR="00FE5B9D" w:rsidRPr="00FE5B9D" w:rsidRDefault="00FE5B9D" w:rsidP="00FE5B9D">
      <w:pPr>
        <w:ind w:firstLine="0"/>
        <w:rPr>
          <w:rFonts w:ascii="Arial" w:hAnsi="Arial" w:cs="Arial"/>
          <w:sz w:val="28"/>
          <w:szCs w:val="28"/>
        </w:rPr>
      </w:pPr>
      <w:r w:rsidRPr="00FE5B9D">
        <w:rPr>
          <w:rFonts w:ascii="Arial" w:hAnsi="Arial" w:cs="Arial"/>
          <w:sz w:val="28"/>
          <w:szCs w:val="28"/>
        </w:rPr>
        <w:t xml:space="preserve">Emma was given an alcohol treatment requirement order by the court and her probation officer attended subsequent High Risk Behaviour meetings. The ATR had some positive impact on Emma’s drinking but once this ended her drinking resumed. She was assigned a key worker from Nelson Trust who persisted in trying to work with Emma despite her initial reluctance, and over time she was able to build a warm and trusting relationship with her. There have been some small </w:t>
      </w:r>
      <w:r w:rsidRPr="00FE5B9D">
        <w:rPr>
          <w:rFonts w:ascii="Arial" w:hAnsi="Arial" w:cs="Arial"/>
          <w:sz w:val="28"/>
          <w:szCs w:val="28"/>
        </w:rPr>
        <w:lastRenderedPageBreak/>
        <w:t xml:space="preserve">improvements in the quality of Emma’s life thanks to this and consideration is being given to offering her a rehab placement when she feels ready to accept it. During a recent hospital admission, the ward staff had been advised of Emma’s childhood abuse </w:t>
      </w:r>
      <w:proofErr w:type="gramStart"/>
      <w:r w:rsidRPr="00FE5B9D">
        <w:rPr>
          <w:rFonts w:ascii="Arial" w:hAnsi="Arial" w:cs="Arial"/>
          <w:sz w:val="28"/>
          <w:szCs w:val="28"/>
        </w:rPr>
        <w:t>and also</w:t>
      </w:r>
      <w:proofErr w:type="gramEnd"/>
      <w:r w:rsidRPr="00FE5B9D">
        <w:rPr>
          <w:rFonts w:ascii="Arial" w:hAnsi="Arial" w:cs="Arial"/>
          <w:sz w:val="28"/>
          <w:szCs w:val="28"/>
        </w:rPr>
        <w:t xml:space="preserve"> took a trauma-informed approach to her – she commented that ward staff had been “really kind” and she was more accepting of treatment during this admission than she had been in the past, when she had self-discharged. </w:t>
      </w:r>
    </w:p>
    <w:p w14:paraId="188AEEB5" w14:textId="77777777" w:rsidR="00FE5B9D" w:rsidRPr="00FE5B9D" w:rsidRDefault="00FE5B9D" w:rsidP="00FE5B9D">
      <w:pPr>
        <w:ind w:firstLine="0"/>
        <w:rPr>
          <w:rFonts w:ascii="Arial" w:hAnsi="Arial" w:cs="Arial"/>
          <w:b/>
          <w:sz w:val="28"/>
          <w:szCs w:val="28"/>
        </w:rPr>
      </w:pPr>
    </w:p>
    <w:p w14:paraId="24F44F13" w14:textId="77777777" w:rsidR="00FE5B9D" w:rsidRPr="00FE5B9D" w:rsidRDefault="00FE5B9D" w:rsidP="00FE5B9D">
      <w:pPr>
        <w:ind w:firstLine="0"/>
        <w:rPr>
          <w:rFonts w:ascii="Arial" w:hAnsi="Arial" w:cs="Arial"/>
          <w:b/>
          <w:sz w:val="28"/>
          <w:szCs w:val="28"/>
        </w:rPr>
      </w:pPr>
      <w:r w:rsidRPr="00FE5B9D">
        <w:rPr>
          <w:rFonts w:ascii="Arial" w:hAnsi="Arial" w:cs="Arial"/>
          <w:b/>
          <w:sz w:val="28"/>
          <w:szCs w:val="28"/>
        </w:rPr>
        <w:t>Learning points</w:t>
      </w:r>
    </w:p>
    <w:p w14:paraId="4B8A6405" w14:textId="77777777" w:rsidR="00FE5B9D" w:rsidRPr="00FE5B9D" w:rsidRDefault="00FE5B9D" w:rsidP="00FE5B9D">
      <w:pPr>
        <w:ind w:firstLine="0"/>
        <w:rPr>
          <w:rFonts w:ascii="Arial" w:hAnsi="Arial" w:cs="Arial"/>
          <w:sz w:val="28"/>
          <w:szCs w:val="28"/>
        </w:rPr>
      </w:pPr>
      <w:r w:rsidRPr="00FE5B9D">
        <w:rPr>
          <w:rFonts w:ascii="Arial" w:hAnsi="Arial" w:cs="Arial"/>
          <w:sz w:val="28"/>
          <w:szCs w:val="28"/>
        </w:rPr>
        <w:t xml:space="preserve">The impact of trauma in childhood, or at any age, should not be underestimated. Alcohol/drug addiction is often linked to the experience of trauma and used as a way of coping with the painful feelings associated with the aftermath of abuse. Thanks to initiatives locally such as promoting awareness of the impact of Adverse Childhood Experiences (ACEs), there is growing recognition that professionals need to actively consider whether trauma is at the root of the individual’s difficulties when working with people with complex lives. It is positive that </w:t>
      </w:r>
      <w:proofErr w:type="gramStart"/>
      <w:r w:rsidRPr="00FE5B9D">
        <w:rPr>
          <w:rFonts w:ascii="Arial" w:hAnsi="Arial" w:cs="Arial"/>
          <w:sz w:val="28"/>
          <w:szCs w:val="28"/>
        </w:rPr>
        <w:t>as a result of</w:t>
      </w:r>
      <w:proofErr w:type="gramEnd"/>
      <w:r w:rsidRPr="00FE5B9D">
        <w:rPr>
          <w:rFonts w:ascii="Arial" w:hAnsi="Arial" w:cs="Arial"/>
          <w:sz w:val="28"/>
          <w:szCs w:val="28"/>
        </w:rPr>
        <w:t xml:space="preserve"> the ACEs initiative, the need for trauma-informed approaches is increasingly recognised by statutory agencies in Gloucestershire, such as the NHS and the Police, who are beginning to adopt this approach. This is in line with some voluntary sector services, who have been working from a trauma-informed perspective for some time. </w:t>
      </w:r>
    </w:p>
    <w:p w14:paraId="172BDEAC" w14:textId="77777777" w:rsidR="00FE5B9D" w:rsidRPr="00FE5B9D" w:rsidRDefault="00FE5B9D" w:rsidP="00FE5B9D">
      <w:pPr>
        <w:ind w:firstLine="0"/>
        <w:rPr>
          <w:rFonts w:ascii="Arial" w:hAnsi="Arial" w:cs="Arial"/>
          <w:sz w:val="28"/>
          <w:szCs w:val="28"/>
        </w:rPr>
      </w:pPr>
    </w:p>
    <w:p w14:paraId="090A3192" w14:textId="77777777" w:rsidR="00FE5B9D" w:rsidRPr="00FE5B9D" w:rsidRDefault="00FE5B9D" w:rsidP="00FE5B9D">
      <w:pPr>
        <w:ind w:firstLine="0"/>
        <w:rPr>
          <w:rFonts w:ascii="Arial" w:hAnsi="Arial" w:cs="Arial"/>
          <w:sz w:val="28"/>
          <w:szCs w:val="28"/>
        </w:rPr>
      </w:pPr>
      <w:r w:rsidRPr="00FE5B9D">
        <w:rPr>
          <w:rFonts w:ascii="Arial" w:hAnsi="Arial" w:cs="Arial"/>
          <w:sz w:val="28"/>
          <w:szCs w:val="28"/>
        </w:rPr>
        <w:t xml:space="preserve">High Risk Behaviour meetings can be helpful in escalating safeguarding cases where the section 42 enquiry process has not been successful in mitigating the risks due to non-engagement. There are rarely easy solutions to be found but an agreed plan can be devised for use at a point when the person is ready to accept support, and people are encouraged to look creatively at how they can work together to support individuals at high risk like Emma. </w:t>
      </w:r>
    </w:p>
    <w:p w14:paraId="2E9A90CB" w14:textId="77777777" w:rsidR="00747278" w:rsidRPr="00FE5B9D" w:rsidRDefault="00FE5B9D">
      <w:pPr>
        <w:rPr>
          <w:sz w:val="28"/>
          <w:szCs w:val="28"/>
        </w:rPr>
      </w:pPr>
    </w:p>
    <w:sectPr w:rsidR="00747278" w:rsidRPr="00FE5B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B9D"/>
    <w:rsid w:val="000077E0"/>
    <w:rsid w:val="00343A03"/>
    <w:rsid w:val="005313B3"/>
    <w:rsid w:val="00FE5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36A02"/>
  <w15:chartTrackingRefBased/>
  <w15:docId w15:val="{3F06092D-0A80-4CB3-91F4-8E2E51E34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B9D"/>
    <w:pPr>
      <w:spacing w:after="0" w:line="240" w:lineRule="auto"/>
      <w:ind w:firstLine="360"/>
    </w:pPr>
    <w:rPr>
      <w:rFonts w:ascii="Calibri" w:eastAsia="Times New Roman" w:hAnsi="Calibri" w:cs="Times New Roman"/>
      <w:kern w:val="0"/>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3748</Characters>
  <Application>Microsoft Office Word</Application>
  <DocSecurity>0</DocSecurity>
  <Lines>31</Lines>
  <Paragraphs>8</Paragraphs>
  <ScaleCrop>false</ScaleCrop>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Carolyn</dc:creator>
  <cp:keywords/>
  <dc:description/>
  <cp:lastModifiedBy>BELL, Carolyn</cp:lastModifiedBy>
  <cp:revision>1</cp:revision>
  <dcterms:created xsi:type="dcterms:W3CDTF">2023-07-17T11:56:00Z</dcterms:created>
  <dcterms:modified xsi:type="dcterms:W3CDTF">2023-07-17T11:57:00Z</dcterms:modified>
</cp:coreProperties>
</file>