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C4F87" w14:textId="1EB5E632" w:rsidR="00FF5E3A" w:rsidRPr="00BC4419" w:rsidRDefault="009A6715" w:rsidP="00E155B3">
      <w:pPr>
        <w:shd w:val="clear" w:color="auto" w:fill="92D050"/>
        <w:spacing w:after="0" w:line="240" w:lineRule="auto"/>
        <w:jc w:val="center"/>
        <w:rPr>
          <w:rFonts w:ascii="Mangal Pro" w:eastAsia="Mangal Pro" w:hAnsi="Mangal Pro" w:cs="Mangal Pro"/>
          <w:b/>
          <w:bCs/>
          <w:sz w:val="28"/>
          <w:szCs w:val="28"/>
        </w:rPr>
      </w:pPr>
      <w:r w:rsidRPr="00BC4419">
        <w:rPr>
          <w:rFonts w:ascii="Mangal Pro" w:eastAsia="Mangal Pro" w:hAnsi="Mangal Pro" w:cs="Mangal Pro"/>
          <w:b/>
          <w:bCs/>
          <w:sz w:val="28"/>
          <w:szCs w:val="28"/>
        </w:rPr>
        <w:t>The Learning</w:t>
      </w:r>
      <w:r w:rsidR="26D900E1" w:rsidRPr="00BC4419">
        <w:rPr>
          <w:rFonts w:ascii="Mangal Pro" w:eastAsia="Mangal Pro" w:hAnsi="Mangal Pro" w:cs="Mangal Pro"/>
          <w:b/>
          <w:bCs/>
          <w:sz w:val="28"/>
          <w:szCs w:val="28"/>
        </w:rPr>
        <w:t xml:space="preserve"> En</w:t>
      </w:r>
      <w:r w:rsidRPr="00BC4419">
        <w:rPr>
          <w:rFonts w:ascii="Mangal Pro" w:eastAsia="Mangal Pro" w:hAnsi="Mangal Pro" w:cs="Mangal Pro"/>
          <w:b/>
          <w:bCs/>
          <w:sz w:val="28"/>
          <w:szCs w:val="28"/>
        </w:rPr>
        <w:t>v</w:t>
      </w:r>
      <w:r w:rsidR="00706C2B" w:rsidRPr="00BC4419">
        <w:rPr>
          <w:rFonts w:ascii="Mangal Pro" w:eastAsia="Mangal Pro" w:hAnsi="Mangal Pro" w:cs="Mangal Pro"/>
          <w:b/>
          <w:bCs/>
          <w:sz w:val="28"/>
          <w:szCs w:val="28"/>
        </w:rPr>
        <w:t>ironment</w:t>
      </w:r>
      <w:r w:rsidR="00E155B3" w:rsidRPr="00BC4419">
        <w:rPr>
          <w:rFonts w:ascii="Mangal Pro" w:eastAsia="Mangal Pro" w:hAnsi="Mangal Pro" w:cs="Mangal Pro"/>
          <w:b/>
          <w:bCs/>
          <w:sz w:val="28"/>
          <w:szCs w:val="28"/>
        </w:rPr>
        <w:t>:</w:t>
      </w:r>
      <w:r w:rsidR="00706C2B" w:rsidRPr="00BC4419">
        <w:rPr>
          <w:rFonts w:ascii="Mangal Pro" w:eastAsia="Mangal Pro" w:hAnsi="Mangal Pro" w:cs="Mangal Pro"/>
          <w:b/>
          <w:bCs/>
          <w:sz w:val="28"/>
          <w:szCs w:val="28"/>
        </w:rPr>
        <w:t xml:space="preserve"> </w:t>
      </w:r>
      <w:r w:rsidR="00BC4419" w:rsidRPr="00BC4419">
        <w:rPr>
          <w:rFonts w:ascii="Mangal Pro" w:eastAsia="Mangal Pro" w:hAnsi="Mangal Pro" w:cs="Mangal Pro"/>
          <w:b/>
          <w:bCs/>
          <w:sz w:val="28"/>
          <w:szCs w:val="28"/>
        </w:rPr>
        <w:t xml:space="preserve">The Physical </w:t>
      </w:r>
      <w:r w:rsidR="00706C2B" w:rsidRPr="00BC4419">
        <w:rPr>
          <w:rFonts w:ascii="Mangal Pro" w:eastAsia="Mangal Pro" w:hAnsi="Mangal Pro" w:cs="Mangal Pro"/>
          <w:b/>
          <w:bCs/>
          <w:sz w:val="28"/>
          <w:szCs w:val="28"/>
        </w:rPr>
        <w:t>Environment</w:t>
      </w:r>
    </w:p>
    <w:p w14:paraId="5C1E1531" w14:textId="45A28A25" w:rsidR="00E155B3" w:rsidRDefault="00BC4419" w:rsidP="00E155B3">
      <w:pPr>
        <w:shd w:val="clear" w:color="auto" w:fill="92D050"/>
        <w:spacing w:after="0" w:line="240" w:lineRule="auto"/>
        <w:jc w:val="center"/>
        <w:rPr>
          <w:rFonts w:ascii="Mangal Pro" w:eastAsia="Mangal Pro" w:hAnsi="Mangal Pro" w:cs="Mangal Pro"/>
          <w:b/>
          <w:bCs/>
          <w:sz w:val="32"/>
          <w:szCs w:val="32"/>
        </w:rPr>
      </w:pPr>
      <w:r>
        <w:rPr>
          <w:rFonts w:ascii="Mangal Pro" w:eastAsia="Mangal Pro" w:hAnsi="Mangal Pro" w:cs="Mangal Pro"/>
          <w:b/>
          <w:bCs/>
          <w:sz w:val="32"/>
          <w:szCs w:val="32"/>
        </w:rPr>
        <w:t>Risk-taking</w:t>
      </w:r>
    </w:p>
    <w:p w14:paraId="123FCBFC" w14:textId="4B3C44E5" w:rsidR="00701919" w:rsidRPr="00C629F8" w:rsidRDefault="00637DC3" w:rsidP="00C629F8">
      <w:pPr>
        <w:spacing w:before="240" w:line="240" w:lineRule="auto"/>
        <w:jc w:val="both"/>
        <w:rPr>
          <w:rFonts w:ascii="Mangal Pro" w:hAnsi="Mangal Pro" w:cs="Mangal Pro"/>
          <w:color w:val="0B0C0C"/>
          <w:sz w:val="18"/>
          <w:szCs w:val="18"/>
        </w:rPr>
      </w:pPr>
      <w:r w:rsidRPr="00C629F8">
        <w:rPr>
          <w:rFonts w:ascii="Mangal Pro" w:hAnsi="Mangal Pro" w:cs="Mangal Pro"/>
          <w:color w:val="0B0C0C"/>
          <w:sz w:val="18"/>
          <w:szCs w:val="18"/>
        </w:rPr>
        <w:t xml:space="preserve">Risk taking helps children build </w:t>
      </w:r>
      <w:r w:rsidR="0065411A" w:rsidRPr="00C629F8">
        <w:rPr>
          <w:rFonts w:ascii="Mangal Pro" w:hAnsi="Mangal Pro" w:cs="Mangal Pro"/>
          <w:color w:val="0B0C0C"/>
          <w:sz w:val="18"/>
          <w:szCs w:val="18"/>
        </w:rPr>
        <w:t>confidence</w:t>
      </w:r>
      <w:r w:rsidR="00445804" w:rsidRPr="00C629F8">
        <w:rPr>
          <w:rFonts w:ascii="Mangal Pro" w:hAnsi="Mangal Pro" w:cs="Mangal Pro"/>
          <w:color w:val="0B0C0C"/>
          <w:sz w:val="18"/>
          <w:szCs w:val="18"/>
        </w:rPr>
        <w:t xml:space="preserve">, independence and </w:t>
      </w:r>
      <w:r w:rsidR="00022DFE" w:rsidRPr="00C629F8">
        <w:rPr>
          <w:rFonts w:ascii="Mangal Pro" w:hAnsi="Mangal Pro" w:cs="Mangal Pro"/>
          <w:color w:val="0B0C0C"/>
          <w:sz w:val="18"/>
          <w:szCs w:val="18"/>
        </w:rPr>
        <w:t>resilience whilst supporting problem-solving skills.</w:t>
      </w:r>
    </w:p>
    <w:p w14:paraId="11300F44" w14:textId="4BE6CC7E" w:rsidR="00855FDC" w:rsidRPr="00C52B84" w:rsidRDefault="000A5C33" w:rsidP="00C629F8">
      <w:pPr>
        <w:spacing w:after="0" w:line="240" w:lineRule="auto"/>
        <w:jc w:val="both"/>
        <w:rPr>
          <w:rFonts w:ascii="Mangal Pro" w:hAnsi="Mangal Pro" w:cs="Mangal Pro"/>
          <w:b/>
          <w:bCs/>
          <w:color w:val="0B0C0C"/>
        </w:rPr>
      </w:pPr>
      <w:r>
        <w:rPr>
          <w:noProof/>
        </w:rPr>
        <w:drawing>
          <wp:anchor distT="0" distB="0" distL="114300" distR="114300" simplePos="0" relativeHeight="251659265" behindDoc="1" locked="0" layoutInCell="1" allowOverlap="1" wp14:anchorId="0AA46BA3" wp14:editId="5D7918DA">
            <wp:simplePos x="0" y="0"/>
            <wp:positionH relativeFrom="margin">
              <wp:posOffset>3701415</wp:posOffset>
            </wp:positionH>
            <wp:positionV relativeFrom="paragraph">
              <wp:posOffset>184785</wp:posOffset>
            </wp:positionV>
            <wp:extent cx="2025015" cy="1520825"/>
            <wp:effectExtent l="0" t="0" r="0" b="3175"/>
            <wp:wrapTight wrapText="bothSides">
              <wp:wrapPolygon edited="0">
                <wp:start x="1422" y="0"/>
                <wp:lineTo x="0" y="1353"/>
                <wp:lineTo x="0" y="20292"/>
                <wp:lineTo x="1219" y="21375"/>
                <wp:lineTo x="20117" y="21375"/>
                <wp:lineTo x="21336" y="20292"/>
                <wp:lineTo x="21336" y="812"/>
                <wp:lineTo x="19913" y="0"/>
                <wp:lineTo x="1422" y="0"/>
              </wp:wrapPolygon>
            </wp:wrapTight>
            <wp:docPr id="16870125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015" cy="1520825"/>
                    </a:xfrm>
                    <a:prstGeom prst="round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2B84" w:rsidRPr="00C52B84">
        <w:rPr>
          <w:rFonts w:ascii="Mangal Pro" w:hAnsi="Mangal Pro" w:cs="Mangal Pro"/>
          <w:b/>
          <w:bCs/>
          <w:color w:val="0B0C0C"/>
        </w:rPr>
        <w:t>T</w:t>
      </w:r>
      <w:r w:rsidR="00A47FEB" w:rsidRPr="00C52B84">
        <w:rPr>
          <w:rFonts w:ascii="Mangal Pro" w:eastAsia="Mangal Pro" w:hAnsi="Mangal Pro" w:cs="Mangal Pro"/>
          <w:b/>
          <w:bCs/>
        </w:rPr>
        <w:t>hings to consider</w:t>
      </w:r>
    </w:p>
    <w:p w14:paraId="2397F108" w14:textId="4B9081AA" w:rsidR="00A47FEB" w:rsidRPr="00C629F8" w:rsidRDefault="00977A4A" w:rsidP="00977A4A">
      <w:pPr>
        <w:pStyle w:val="ListParagraph"/>
        <w:numPr>
          <w:ilvl w:val="0"/>
          <w:numId w:val="10"/>
        </w:numPr>
        <w:rPr>
          <w:rFonts w:ascii="Mangal Pro" w:eastAsia="Mangal Pro" w:hAnsi="Mangal Pro" w:cs="Mangal Pro"/>
          <w:sz w:val="18"/>
          <w:szCs w:val="18"/>
        </w:rPr>
      </w:pPr>
      <w:r w:rsidRPr="00C629F8">
        <w:rPr>
          <w:rFonts w:ascii="Mangal Pro" w:eastAsia="Mangal Pro" w:hAnsi="Mangal Pro" w:cs="Mangal Pro"/>
          <w:sz w:val="18"/>
          <w:szCs w:val="18"/>
        </w:rPr>
        <w:t>Ri</w:t>
      </w:r>
      <w:r w:rsidR="003B6693" w:rsidRPr="00C629F8">
        <w:rPr>
          <w:rFonts w:ascii="Mangal Pro" w:eastAsia="Mangal Pro" w:hAnsi="Mangal Pro" w:cs="Mangal Pro"/>
          <w:sz w:val="18"/>
          <w:szCs w:val="18"/>
        </w:rPr>
        <w:t>s</w:t>
      </w:r>
      <w:r w:rsidRPr="00C629F8">
        <w:rPr>
          <w:rFonts w:ascii="Mangal Pro" w:eastAsia="Mangal Pro" w:hAnsi="Mangal Pro" w:cs="Mangal Pro"/>
          <w:sz w:val="18"/>
          <w:szCs w:val="18"/>
        </w:rPr>
        <w:t xml:space="preserve">k needs to be developmentally appropriate to the cohort of children </w:t>
      </w:r>
    </w:p>
    <w:p w14:paraId="2508DBA9" w14:textId="113F8308" w:rsidR="00977A4A" w:rsidRPr="00C629F8" w:rsidRDefault="003B6693" w:rsidP="00977A4A">
      <w:pPr>
        <w:pStyle w:val="ListParagraph"/>
        <w:numPr>
          <w:ilvl w:val="0"/>
          <w:numId w:val="10"/>
        </w:numPr>
        <w:rPr>
          <w:rFonts w:ascii="Mangal Pro" w:eastAsia="Mangal Pro" w:hAnsi="Mangal Pro" w:cs="Mangal Pro"/>
          <w:sz w:val="18"/>
          <w:szCs w:val="18"/>
        </w:rPr>
      </w:pPr>
      <w:r w:rsidRPr="00C629F8">
        <w:rPr>
          <w:rFonts w:ascii="Mangal Pro" w:eastAsia="Mangal Pro" w:hAnsi="Mangal Pro" w:cs="Mangal Pro"/>
          <w:sz w:val="18"/>
          <w:szCs w:val="18"/>
        </w:rPr>
        <w:t xml:space="preserve">Risk taking </w:t>
      </w:r>
      <w:r w:rsidR="00596717" w:rsidRPr="00C629F8">
        <w:rPr>
          <w:rFonts w:ascii="Mangal Pro" w:eastAsia="Mangal Pro" w:hAnsi="Mangal Pro" w:cs="Mangal Pro"/>
          <w:sz w:val="18"/>
          <w:szCs w:val="18"/>
        </w:rPr>
        <w:t>opportunities should be available</w:t>
      </w:r>
      <w:r w:rsidRPr="00C629F8">
        <w:rPr>
          <w:rFonts w:ascii="Mangal Pro" w:eastAsia="Mangal Pro" w:hAnsi="Mangal Pro" w:cs="Mangal Pro"/>
          <w:sz w:val="18"/>
          <w:szCs w:val="18"/>
        </w:rPr>
        <w:t xml:space="preserve"> both inside and outside </w:t>
      </w:r>
    </w:p>
    <w:p w14:paraId="2E929FBA" w14:textId="681A6770" w:rsidR="00596717" w:rsidRPr="00C629F8" w:rsidRDefault="00761D0F" w:rsidP="00977A4A">
      <w:pPr>
        <w:pStyle w:val="ListParagraph"/>
        <w:numPr>
          <w:ilvl w:val="0"/>
          <w:numId w:val="10"/>
        </w:numPr>
        <w:rPr>
          <w:rFonts w:ascii="Mangal Pro" w:eastAsia="Mangal Pro" w:hAnsi="Mangal Pro" w:cs="Mangal Pro"/>
          <w:sz w:val="18"/>
          <w:szCs w:val="18"/>
        </w:rPr>
      </w:pPr>
      <w:r w:rsidRPr="00C629F8">
        <w:rPr>
          <w:rFonts w:ascii="Mangal Pro" w:eastAsia="Mangal Pro" w:hAnsi="Mangal Pro" w:cs="Mangal Pro"/>
          <w:sz w:val="18"/>
          <w:szCs w:val="18"/>
        </w:rPr>
        <w:t xml:space="preserve">Do you have risk assessments in place for </w:t>
      </w:r>
      <w:r w:rsidR="001568E3" w:rsidRPr="00C629F8">
        <w:rPr>
          <w:rFonts w:ascii="Mangal Pro" w:eastAsia="Mangal Pro" w:hAnsi="Mangal Pro" w:cs="Mangal Pro"/>
          <w:sz w:val="18"/>
          <w:szCs w:val="18"/>
        </w:rPr>
        <w:t>‘risk taking’ activities?</w:t>
      </w:r>
    </w:p>
    <w:p w14:paraId="4E43A8BC" w14:textId="1A18F89D" w:rsidR="001B67BE" w:rsidRPr="00C629F8" w:rsidRDefault="00F51221" w:rsidP="00B22C3B">
      <w:pPr>
        <w:pStyle w:val="ListParagraph"/>
        <w:numPr>
          <w:ilvl w:val="0"/>
          <w:numId w:val="10"/>
        </w:numPr>
        <w:rPr>
          <w:rFonts w:ascii="Mangal Pro" w:eastAsia="Mangal Pro" w:hAnsi="Mangal Pro" w:cs="Mangal Pro"/>
          <w:sz w:val="18"/>
          <w:szCs w:val="18"/>
        </w:rPr>
      </w:pPr>
      <w:r w:rsidRPr="00C629F8">
        <w:rPr>
          <w:rFonts w:ascii="Mangal Pro" w:eastAsia="Mangal Pro" w:hAnsi="Mangal Pro" w:cs="Mangal Pro"/>
          <w:sz w:val="18"/>
          <w:szCs w:val="18"/>
        </w:rPr>
        <w:t xml:space="preserve">Do staff model how </w:t>
      </w:r>
      <w:r w:rsidR="00B90497" w:rsidRPr="00C629F8">
        <w:rPr>
          <w:rFonts w:ascii="Mangal Pro" w:eastAsia="Mangal Pro" w:hAnsi="Mangal Pro" w:cs="Mangal Pro"/>
          <w:sz w:val="18"/>
          <w:szCs w:val="18"/>
        </w:rPr>
        <w:t xml:space="preserve">to use outdoor equipment and space and </w:t>
      </w:r>
      <w:r w:rsidR="007879DB" w:rsidRPr="00C629F8">
        <w:rPr>
          <w:rFonts w:ascii="Mangal Pro" w:eastAsia="Mangal Pro" w:hAnsi="Mangal Pro" w:cs="Mangal Pro"/>
          <w:sz w:val="18"/>
          <w:szCs w:val="18"/>
        </w:rPr>
        <w:t>show them the opportunities available</w:t>
      </w:r>
      <w:r w:rsidR="001B67BE" w:rsidRPr="00C629F8">
        <w:rPr>
          <w:rFonts w:ascii="Mangal Pro" w:eastAsia="Mangal Pro" w:hAnsi="Mangal Pro" w:cs="Mangal Pro"/>
          <w:sz w:val="18"/>
          <w:szCs w:val="18"/>
        </w:rPr>
        <w:t>?</w:t>
      </w:r>
    </w:p>
    <w:p w14:paraId="0440491F" w14:textId="239BB9D9" w:rsidR="00AC0E79" w:rsidRPr="00C629F8" w:rsidRDefault="000A5C33" w:rsidP="00B22C3B">
      <w:pPr>
        <w:pStyle w:val="ListParagraph"/>
        <w:numPr>
          <w:ilvl w:val="0"/>
          <w:numId w:val="10"/>
        </w:numPr>
        <w:rPr>
          <w:rFonts w:ascii="Mangal Pro" w:eastAsia="Mangal Pro" w:hAnsi="Mangal Pro" w:cs="Mangal Pro"/>
          <w:sz w:val="18"/>
          <w:szCs w:val="18"/>
        </w:rPr>
      </w:pPr>
      <w:r>
        <w:rPr>
          <w:rFonts w:ascii="Mangal Pro" w:eastAsia="Mangal Pro" w:hAnsi="Mangal Pro" w:cs="Mangal Pro"/>
          <w:noProof/>
          <w:sz w:val="20"/>
          <w:szCs w:val="20"/>
        </w:rPr>
        <w:drawing>
          <wp:anchor distT="0" distB="0" distL="114300" distR="114300" simplePos="0" relativeHeight="251660289" behindDoc="1" locked="0" layoutInCell="1" allowOverlap="1" wp14:anchorId="6D0FF3DD" wp14:editId="4D735B0E">
            <wp:simplePos x="0" y="0"/>
            <wp:positionH relativeFrom="margin">
              <wp:align>left</wp:align>
            </wp:positionH>
            <wp:positionV relativeFrom="paragraph">
              <wp:posOffset>21893</wp:posOffset>
            </wp:positionV>
            <wp:extent cx="1068070" cy="1423035"/>
            <wp:effectExtent l="0" t="0" r="0" b="5715"/>
            <wp:wrapTight wrapText="bothSides">
              <wp:wrapPolygon edited="0">
                <wp:start x="1156" y="0"/>
                <wp:lineTo x="0" y="867"/>
                <wp:lineTo x="0" y="20530"/>
                <wp:lineTo x="1156" y="21398"/>
                <wp:lineTo x="20033" y="21398"/>
                <wp:lineTo x="21189" y="20530"/>
                <wp:lineTo x="21189" y="867"/>
                <wp:lineTo x="20033" y="0"/>
                <wp:lineTo x="1156" y="0"/>
              </wp:wrapPolygon>
            </wp:wrapTight>
            <wp:docPr id="12789546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933" cy="1438644"/>
                    </a:xfrm>
                    <a:prstGeom prst="round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79DB" w:rsidRPr="00C629F8">
        <w:rPr>
          <w:rFonts w:ascii="Mangal Pro" w:eastAsia="Mangal Pro" w:hAnsi="Mangal Pro" w:cs="Mangal Pro"/>
          <w:sz w:val="18"/>
          <w:szCs w:val="18"/>
        </w:rPr>
        <w:t xml:space="preserve">Do staff support children when things don’t go to plan? </w:t>
      </w:r>
      <w:r w:rsidR="00AC0E79" w:rsidRPr="00C629F8">
        <w:rPr>
          <w:rFonts w:ascii="Mangal Pro" w:eastAsia="Mangal Pro" w:hAnsi="Mangal Pro" w:cs="Mangal Pro"/>
          <w:sz w:val="18"/>
          <w:szCs w:val="18"/>
        </w:rPr>
        <w:t>Do they encourage them to try again and support their resilience?</w:t>
      </w:r>
    </w:p>
    <w:p w14:paraId="139CCE22" w14:textId="476D3857" w:rsidR="007804DA" w:rsidRPr="00C629F8" w:rsidRDefault="007804DA" w:rsidP="00B22C3B">
      <w:pPr>
        <w:pStyle w:val="ListParagraph"/>
        <w:numPr>
          <w:ilvl w:val="0"/>
          <w:numId w:val="10"/>
        </w:numPr>
        <w:rPr>
          <w:rFonts w:ascii="Mangal Pro" w:eastAsia="Mangal Pro" w:hAnsi="Mangal Pro" w:cs="Mangal Pro"/>
          <w:sz w:val="18"/>
          <w:szCs w:val="18"/>
        </w:rPr>
      </w:pPr>
      <w:r w:rsidRPr="00C629F8">
        <w:rPr>
          <w:rFonts w:ascii="Mangal Pro" w:eastAsia="Mangal Pro" w:hAnsi="Mangal Pro" w:cs="Mangal Pro"/>
          <w:sz w:val="18"/>
          <w:szCs w:val="18"/>
        </w:rPr>
        <w:t xml:space="preserve">Staff can build confidence </w:t>
      </w:r>
      <w:r w:rsidR="00683FB2" w:rsidRPr="00C629F8">
        <w:rPr>
          <w:rFonts w:ascii="Mangal Pro" w:eastAsia="Mangal Pro" w:hAnsi="Mangal Pro" w:cs="Mangal Pro"/>
          <w:sz w:val="18"/>
          <w:szCs w:val="18"/>
        </w:rPr>
        <w:t>by using positive language such as ‘show me how carefully you can use the scissors</w:t>
      </w:r>
      <w:r w:rsidR="00792C15" w:rsidRPr="00C629F8">
        <w:rPr>
          <w:rFonts w:ascii="Mangal Pro" w:eastAsia="Mangal Pro" w:hAnsi="Mangal Pro" w:cs="Mangal Pro"/>
          <w:sz w:val="18"/>
          <w:szCs w:val="18"/>
        </w:rPr>
        <w:t xml:space="preserve">’ rather than ‘don’t do that its dangerous’ which can </w:t>
      </w:r>
      <w:r w:rsidR="000636CD" w:rsidRPr="00C629F8">
        <w:rPr>
          <w:rFonts w:ascii="Mangal Pro" w:eastAsia="Mangal Pro" w:hAnsi="Mangal Pro" w:cs="Mangal Pro"/>
          <w:sz w:val="18"/>
          <w:szCs w:val="18"/>
        </w:rPr>
        <w:t>build anxiety</w:t>
      </w:r>
    </w:p>
    <w:p w14:paraId="3A0F5317" w14:textId="300AFB42" w:rsidR="005014AA" w:rsidRPr="000A5C33" w:rsidRDefault="00E17C4C" w:rsidP="00161174">
      <w:pPr>
        <w:pStyle w:val="ListParagraph"/>
        <w:numPr>
          <w:ilvl w:val="0"/>
          <w:numId w:val="10"/>
        </w:numPr>
        <w:rPr>
          <w:rFonts w:ascii="Mangal Pro" w:eastAsia="Mangal Pro" w:hAnsi="Mangal Pro" w:cs="Mangal Pro"/>
          <w:sz w:val="18"/>
          <w:szCs w:val="18"/>
        </w:rPr>
      </w:pPr>
      <w:r w:rsidRPr="00C629F8">
        <w:rPr>
          <w:rFonts w:ascii="Mangal Pro" w:eastAsia="Mangal Pro" w:hAnsi="Mangal Pro" w:cs="Mangal Pro"/>
          <w:sz w:val="18"/>
          <w:szCs w:val="18"/>
        </w:rPr>
        <w:t xml:space="preserve">Children need to be supported to </w:t>
      </w:r>
      <w:r w:rsidR="00854F60" w:rsidRPr="00C629F8">
        <w:rPr>
          <w:rFonts w:ascii="Mangal Pro" w:eastAsia="Mangal Pro" w:hAnsi="Mangal Pro" w:cs="Mangal Pro"/>
          <w:sz w:val="18"/>
          <w:szCs w:val="18"/>
        </w:rPr>
        <w:t>understand their own limitations</w:t>
      </w:r>
      <w:r w:rsidR="004126D6" w:rsidRPr="000A5C33">
        <w:rPr>
          <w:rFonts w:ascii="Mangal Pro" w:eastAsia="Mangal Pro" w:hAnsi="Mangal Pro" w:cs="Mangal Pro"/>
          <w:sz w:val="20"/>
          <w:szCs w:val="20"/>
        </w:rPr>
        <w:t xml:space="preserve">     </w:t>
      </w:r>
      <w:r w:rsidR="00161174" w:rsidRPr="000A5C33">
        <w:rPr>
          <w:rFonts w:ascii="Mangal Pro" w:eastAsia="Mangal Pro" w:hAnsi="Mangal Pro" w:cs="Mangal Pro"/>
          <w:sz w:val="20"/>
          <w:szCs w:val="20"/>
        </w:rPr>
        <w:t xml:space="preserve">                         </w:t>
      </w:r>
      <w:r w:rsidR="004126D6" w:rsidRPr="000A5C33">
        <w:rPr>
          <w:rFonts w:ascii="Mangal Pro" w:eastAsia="Mangal Pro" w:hAnsi="Mangal Pro" w:cs="Mangal Pro"/>
          <w:sz w:val="20"/>
          <w:szCs w:val="20"/>
        </w:rPr>
        <w:t xml:space="preserve">                  </w:t>
      </w:r>
    </w:p>
    <w:p w14:paraId="2E383B1B" w14:textId="360260F2" w:rsidR="005014AA" w:rsidRDefault="00275716" w:rsidP="00276BDA">
      <w:pPr>
        <w:jc w:val="both"/>
        <w:rPr>
          <w:rFonts w:ascii="Mangal Pro" w:eastAsia="Mangal Pro" w:hAnsi="Mangal Pro" w:cs="Mangal Pro"/>
          <w:b/>
          <w:bCs/>
          <w:color w:val="auto"/>
        </w:rPr>
      </w:pPr>
      <w:r w:rsidRPr="00701919">
        <w:rPr>
          <w:rFonts w:ascii="Mangal Pro" w:eastAsia="Mangal Pro" w:hAnsi="Mangal Pro" w:cs="Mangal Pro"/>
          <w:noProof/>
          <w:color w:val="auto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7C72B5" wp14:editId="2FDD1D51">
                <wp:simplePos x="0" y="0"/>
                <wp:positionH relativeFrom="margin">
                  <wp:align>left</wp:align>
                </wp:positionH>
                <wp:positionV relativeFrom="paragraph">
                  <wp:posOffset>163830</wp:posOffset>
                </wp:positionV>
                <wp:extent cx="5612363" cy="800100"/>
                <wp:effectExtent l="0" t="0" r="26670" b="19050"/>
                <wp:wrapNone/>
                <wp:docPr id="1561221552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363" cy="80010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4A8147" w14:textId="5938F639" w:rsidR="00D820E1" w:rsidRPr="00C629F8" w:rsidRDefault="00D820E1" w:rsidP="000A5C33">
                            <w:pPr>
                              <w:spacing w:after="0"/>
                              <w:jc w:val="center"/>
                              <w:rPr>
                                <w:rFonts w:ascii="Mangal Pro" w:eastAsia="Mangal Pro" w:hAnsi="Mangal Pro" w:cs="Mangal Pro"/>
                                <w:b/>
                                <w:bCs/>
                              </w:rPr>
                            </w:pPr>
                            <w:r w:rsidRPr="00C629F8">
                              <w:rPr>
                                <w:rFonts w:ascii="Mangal Pro" w:eastAsia="Mangal Pro" w:hAnsi="Mangal Pro" w:cs="Mangal Pro"/>
                                <w:b/>
                                <w:bCs/>
                              </w:rPr>
                              <w:t>Top tips</w:t>
                            </w:r>
                            <w:r w:rsidR="0054374F" w:rsidRPr="00C629F8">
                              <w:rPr>
                                <w:rFonts w:ascii="Mangal Pro" w:eastAsia="Mangal Pro" w:hAnsi="Mangal Pro" w:cs="Mangal Pro"/>
                                <w:b/>
                                <w:bCs/>
                              </w:rPr>
                              <w:t xml:space="preserve"> for inclusion</w:t>
                            </w:r>
                          </w:p>
                          <w:p w14:paraId="15254F09" w14:textId="026206B1" w:rsidR="006D40B8" w:rsidRPr="00C629F8" w:rsidRDefault="0051593E" w:rsidP="0051593E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</w:pPr>
                            <w:r w:rsidRPr="00C629F8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 xml:space="preserve">Are reasonable adjustments made so all children can engage in </w:t>
                            </w:r>
                            <w:r w:rsidR="004E5F8F" w:rsidRPr="00C629F8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>‘risk taking’</w:t>
                            </w:r>
                          </w:p>
                          <w:p w14:paraId="02D1E8A2" w14:textId="77777777" w:rsidR="004E5F8F" w:rsidRPr="005014AA" w:rsidRDefault="004E5F8F" w:rsidP="005014AA">
                            <w:pPr>
                              <w:rPr>
                                <w:rFonts w:ascii="Mangal Pro" w:eastAsia="Mangal Pro" w:hAnsi="Mangal Pro" w:cs="Mangal Pro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1C958975" w14:textId="77777777" w:rsidR="006D40B8" w:rsidRDefault="006D40B8" w:rsidP="00147DB2">
                            <w:pPr>
                              <w:rPr>
                                <w:rFonts w:ascii="Mangal Pro" w:eastAsia="Mangal Pro" w:hAnsi="Mangal Pro" w:cs="Mangal Pr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0185E2F6" w14:textId="77777777" w:rsidR="006D40B8" w:rsidRDefault="006D40B8" w:rsidP="00147DB2">
                            <w:pPr>
                              <w:rPr>
                                <w:rFonts w:ascii="Mangal Pro" w:eastAsia="Mangal Pro" w:hAnsi="Mangal Pro" w:cs="Mangal Pr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00222B2A" w14:textId="77777777" w:rsidR="006D40B8" w:rsidRPr="00936AE5" w:rsidRDefault="006D40B8" w:rsidP="00147DB2">
                            <w:pPr>
                              <w:rPr>
                                <w:rFonts w:ascii="Mangal Pro" w:eastAsia="Mangal Pro" w:hAnsi="Mangal Pro" w:cs="Mangal Pr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0E5C89AF" w14:textId="77777777" w:rsidR="00D820E1" w:rsidRDefault="00D820E1" w:rsidP="00D820E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7C72B5" id="Rectangle: Rounded Corners 1" o:spid="_x0000_s1026" style="position:absolute;left:0;text-align:left;margin-left:0;margin-top:12.9pt;width:441.9pt;height:63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" fillcolor="white [3201]" strokecolor="#70ad47 [3209]" strokeweight="1pt">
                <v:stroke joinstyle="miter"/>
                <v:textbox>
                  <w:txbxContent>
                    <w:p w14:paraId="324A8147" w14:textId="5938F639" w:rsidR="00D820E1" w:rsidRPr="00C629F8" w:rsidRDefault="00D820E1" w:rsidP="000A5C33">
                      <w:pPr>
                        <w:spacing w:after="0"/>
                        <w:jc w:val="center"/>
                        <w:rPr>
                          <w:rFonts w:ascii="Mangal Pro" w:eastAsia="Mangal Pro" w:hAnsi="Mangal Pro" w:cs="Mangal Pro"/>
                          <w:b/>
                          <w:bCs/>
                        </w:rPr>
                      </w:pPr>
                      <w:r w:rsidRPr="00C629F8">
                        <w:rPr>
                          <w:rFonts w:ascii="Mangal Pro" w:eastAsia="Mangal Pro" w:hAnsi="Mangal Pro" w:cs="Mangal Pro"/>
                          <w:b/>
                          <w:bCs/>
                        </w:rPr>
                        <w:t>Top tips</w:t>
                      </w:r>
                      <w:r w:rsidR="0054374F" w:rsidRPr="00C629F8">
                        <w:rPr>
                          <w:rFonts w:ascii="Mangal Pro" w:eastAsia="Mangal Pro" w:hAnsi="Mangal Pro" w:cs="Mangal Pro"/>
                          <w:b/>
                          <w:bCs/>
                        </w:rPr>
                        <w:t xml:space="preserve"> for inclusion</w:t>
                      </w:r>
                    </w:p>
                    <w:p w14:paraId="15254F09" w14:textId="026206B1" w:rsidR="006D40B8" w:rsidRPr="00C629F8" w:rsidRDefault="0051593E" w:rsidP="0051593E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</w:pPr>
                      <w:r w:rsidRPr="00C629F8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 xml:space="preserve">Are reasonable adjustments made so all children can engage in </w:t>
                      </w:r>
                      <w:r w:rsidR="004E5F8F" w:rsidRPr="00C629F8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>‘risk taking’</w:t>
                      </w:r>
                    </w:p>
                    <w:p w14:paraId="02D1E8A2" w14:textId="77777777" w:rsidR="004E5F8F" w:rsidRPr="005014AA" w:rsidRDefault="004E5F8F" w:rsidP="005014AA">
                      <w:pPr>
                        <w:rPr>
                          <w:rFonts w:ascii="Mangal Pro" w:eastAsia="Mangal Pro" w:hAnsi="Mangal Pro" w:cs="Mangal Pro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1C958975" w14:textId="77777777" w:rsidR="006D40B8" w:rsidRDefault="006D40B8" w:rsidP="00147DB2">
                      <w:pPr>
                        <w:rPr>
                          <w:rFonts w:ascii="Mangal Pro" w:eastAsia="Mangal Pro" w:hAnsi="Mangal Pro" w:cs="Mangal Pro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0185E2F6" w14:textId="77777777" w:rsidR="006D40B8" w:rsidRDefault="006D40B8" w:rsidP="00147DB2">
                      <w:pPr>
                        <w:rPr>
                          <w:rFonts w:ascii="Mangal Pro" w:eastAsia="Mangal Pro" w:hAnsi="Mangal Pro" w:cs="Mangal Pro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00222B2A" w14:textId="77777777" w:rsidR="006D40B8" w:rsidRPr="00936AE5" w:rsidRDefault="006D40B8" w:rsidP="00147DB2">
                      <w:pPr>
                        <w:rPr>
                          <w:rFonts w:ascii="Mangal Pro" w:eastAsia="Mangal Pro" w:hAnsi="Mangal Pro" w:cs="Mangal Pro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0E5C89AF" w14:textId="77777777" w:rsidR="00D820E1" w:rsidRDefault="00D820E1" w:rsidP="00D820E1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25014C2" w14:textId="0AB789D6" w:rsidR="005014AA" w:rsidRDefault="005014AA" w:rsidP="00276BDA">
      <w:pPr>
        <w:jc w:val="both"/>
        <w:rPr>
          <w:rFonts w:ascii="Mangal Pro" w:eastAsia="Mangal Pro" w:hAnsi="Mangal Pro" w:cs="Mangal Pro"/>
          <w:b/>
          <w:bCs/>
          <w:color w:val="auto"/>
        </w:rPr>
      </w:pPr>
    </w:p>
    <w:p w14:paraId="0097EC35" w14:textId="183E9165" w:rsidR="005014AA" w:rsidRDefault="000A5C33" w:rsidP="00276BDA">
      <w:pPr>
        <w:jc w:val="both"/>
        <w:rPr>
          <w:rFonts w:ascii="Mangal Pro" w:eastAsia="Mangal Pro" w:hAnsi="Mangal Pro" w:cs="Mangal Pro"/>
          <w:b/>
          <w:bCs/>
          <w:color w:val="auto"/>
        </w:rPr>
      </w:pPr>
      <w:r w:rsidRPr="00701919">
        <w:rPr>
          <w:rFonts w:ascii="Mangal Pro" w:eastAsia="Mangal Pro" w:hAnsi="Mangal Pro" w:cs="Mangal Pro"/>
          <w:noProof/>
          <w:color w:val="auto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DDEE98D" wp14:editId="335C8A70">
                <wp:simplePos x="0" y="0"/>
                <wp:positionH relativeFrom="margin">
                  <wp:align>left</wp:align>
                </wp:positionH>
                <wp:positionV relativeFrom="paragraph">
                  <wp:posOffset>368146</wp:posOffset>
                </wp:positionV>
                <wp:extent cx="5621694" cy="1441450"/>
                <wp:effectExtent l="0" t="0" r="17145" b="25400"/>
                <wp:wrapNone/>
                <wp:docPr id="894943652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1694" cy="144145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5DC583" w14:textId="34DE594B" w:rsidR="0054374F" w:rsidRPr="00C629F8" w:rsidRDefault="0054374F" w:rsidP="000A5C33">
                            <w:pPr>
                              <w:spacing w:after="0"/>
                              <w:jc w:val="center"/>
                              <w:rPr>
                                <w:rFonts w:ascii="Mangal Pro" w:eastAsia="Mangal Pro" w:hAnsi="Mangal Pro" w:cs="Mangal Pro"/>
                                <w:b/>
                                <w:bCs/>
                              </w:rPr>
                            </w:pPr>
                            <w:r w:rsidRPr="00C629F8">
                              <w:rPr>
                                <w:rFonts w:ascii="Mangal Pro" w:eastAsia="Mangal Pro" w:hAnsi="Mangal Pro" w:cs="Mangal Pro"/>
                                <w:b/>
                                <w:bCs/>
                              </w:rPr>
                              <w:t>Partnership with Parents</w:t>
                            </w:r>
                          </w:p>
                          <w:p w14:paraId="296378EB" w14:textId="58C3BBB0" w:rsidR="006D40B8" w:rsidRPr="00C629F8" w:rsidRDefault="00541532" w:rsidP="00541532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jc w:val="both"/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</w:pPr>
                            <w:r w:rsidRPr="00C629F8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 xml:space="preserve">Risk taking isn’t limited to outside – those who do not have access to green spaces can </w:t>
                            </w:r>
                            <w:r w:rsidR="00503DE9" w:rsidRPr="00C629F8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>introduce water play, help with cooking, using scissors for crafts etc</w:t>
                            </w:r>
                          </w:p>
                          <w:p w14:paraId="01C2B5CC" w14:textId="0A74763B" w:rsidR="00503DE9" w:rsidRPr="00C629F8" w:rsidRDefault="00C629F8" w:rsidP="00541532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jc w:val="both"/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>Encourage parents to su</w:t>
                            </w:r>
                            <w:r w:rsidR="005D2EC0" w:rsidRPr="00C629F8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>pport children to understand the safety boundaries of risky play</w:t>
                            </w:r>
                            <w:r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 xml:space="preserve"> at home</w:t>
                            </w:r>
                          </w:p>
                          <w:p w14:paraId="10A1AE74" w14:textId="77777777" w:rsidR="006D40B8" w:rsidRDefault="006D40B8" w:rsidP="0054374F">
                            <w:pPr>
                              <w:jc w:val="both"/>
                              <w:rPr>
                                <w:rFonts w:ascii="Mangal Pro" w:eastAsia="Mangal Pro" w:hAnsi="Mangal Pro" w:cs="Mangal Pr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2BFF0DE8" w14:textId="77777777" w:rsidR="006D40B8" w:rsidRPr="00936AE5" w:rsidRDefault="006D40B8" w:rsidP="0054374F">
                            <w:pPr>
                              <w:jc w:val="both"/>
                              <w:rPr>
                                <w:rFonts w:ascii="Mangal Pro" w:eastAsia="Mangal Pro" w:hAnsi="Mangal Pro" w:cs="Mangal Pr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44196712" w14:textId="4792580C" w:rsidR="0054374F" w:rsidRPr="00855FDC" w:rsidRDefault="0054374F" w:rsidP="00855FDC">
                            <w:pPr>
                              <w:rPr>
                                <w:rFonts w:ascii="Mangal Pro" w:eastAsia="Mangal Pro" w:hAnsi="Mangal Pro" w:cs="Mangal Pro"/>
                              </w:rPr>
                            </w:pPr>
                          </w:p>
                          <w:p w14:paraId="1D940398" w14:textId="77777777" w:rsidR="0054374F" w:rsidRDefault="0054374F" w:rsidP="0054374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DEE98D" id="_x0000_s1027" style="position:absolute;left:0;text-align:left;margin-left:0;margin-top:29pt;width:442.65pt;height:113.5pt;z-index:25165824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" fillcolor="white [3201]" strokecolor="#4472c4 [3204]" strokeweight="1pt">
                <v:stroke joinstyle="miter"/>
                <v:textbox>
                  <w:txbxContent>
                    <w:p w14:paraId="2A5DC583" w14:textId="34DE594B" w:rsidR="0054374F" w:rsidRPr="00C629F8" w:rsidRDefault="0054374F" w:rsidP="000A5C33">
                      <w:pPr>
                        <w:spacing w:after="0"/>
                        <w:jc w:val="center"/>
                        <w:rPr>
                          <w:rFonts w:ascii="Mangal Pro" w:eastAsia="Mangal Pro" w:hAnsi="Mangal Pro" w:cs="Mangal Pro"/>
                          <w:b/>
                          <w:bCs/>
                        </w:rPr>
                      </w:pPr>
                      <w:r w:rsidRPr="00C629F8">
                        <w:rPr>
                          <w:rFonts w:ascii="Mangal Pro" w:eastAsia="Mangal Pro" w:hAnsi="Mangal Pro" w:cs="Mangal Pro"/>
                          <w:b/>
                          <w:bCs/>
                        </w:rPr>
                        <w:t>Partnership with Parents</w:t>
                      </w:r>
                    </w:p>
                    <w:p w14:paraId="296378EB" w14:textId="58C3BBB0" w:rsidR="006D40B8" w:rsidRPr="00C629F8" w:rsidRDefault="00541532" w:rsidP="00541532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jc w:val="both"/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</w:pPr>
                      <w:r w:rsidRPr="00C629F8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 xml:space="preserve">Risk taking isn’t limited to outside – those who do not have access to green spaces can </w:t>
                      </w:r>
                      <w:r w:rsidR="00503DE9" w:rsidRPr="00C629F8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>introduce water play, help with cooking, using scissors for crafts etc</w:t>
                      </w:r>
                    </w:p>
                    <w:p w14:paraId="01C2B5CC" w14:textId="0A74763B" w:rsidR="00503DE9" w:rsidRPr="00C629F8" w:rsidRDefault="00C629F8" w:rsidP="00541532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jc w:val="both"/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</w:pPr>
                      <w:r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>Encourage parents to su</w:t>
                      </w:r>
                      <w:r w:rsidR="005D2EC0" w:rsidRPr="00C629F8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>pport children to understand the safety boundaries of risky play</w:t>
                      </w:r>
                      <w:r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 xml:space="preserve"> at home</w:t>
                      </w:r>
                    </w:p>
                    <w:p w14:paraId="10A1AE74" w14:textId="77777777" w:rsidR="006D40B8" w:rsidRDefault="006D40B8" w:rsidP="0054374F">
                      <w:pPr>
                        <w:jc w:val="both"/>
                        <w:rPr>
                          <w:rFonts w:ascii="Mangal Pro" w:eastAsia="Mangal Pro" w:hAnsi="Mangal Pro" w:cs="Mangal Pro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2BFF0DE8" w14:textId="77777777" w:rsidR="006D40B8" w:rsidRPr="00936AE5" w:rsidRDefault="006D40B8" w:rsidP="0054374F">
                      <w:pPr>
                        <w:jc w:val="both"/>
                        <w:rPr>
                          <w:rFonts w:ascii="Mangal Pro" w:eastAsia="Mangal Pro" w:hAnsi="Mangal Pro" w:cs="Mangal Pro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44196712" w14:textId="4792580C" w:rsidR="0054374F" w:rsidRPr="00855FDC" w:rsidRDefault="0054374F" w:rsidP="00855FDC">
                      <w:pPr>
                        <w:rPr>
                          <w:rFonts w:ascii="Mangal Pro" w:eastAsia="Mangal Pro" w:hAnsi="Mangal Pro" w:cs="Mangal Pro"/>
                        </w:rPr>
                      </w:pPr>
                    </w:p>
                    <w:p w14:paraId="1D940398" w14:textId="77777777" w:rsidR="0054374F" w:rsidRDefault="0054374F" w:rsidP="0054374F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76029D3" w14:textId="11B6433F" w:rsidR="00275716" w:rsidRDefault="00275716" w:rsidP="00275716">
      <w:pPr>
        <w:spacing w:after="0"/>
        <w:jc w:val="both"/>
        <w:rPr>
          <w:rFonts w:ascii="Mangal Pro" w:eastAsia="Mangal Pro" w:hAnsi="Mangal Pro" w:cs="Mangal Pro"/>
          <w:b/>
          <w:bCs/>
          <w:color w:val="auto"/>
        </w:rPr>
      </w:pPr>
    </w:p>
    <w:p w14:paraId="699C3A4E" w14:textId="36B0DB7E" w:rsidR="00275716" w:rsidRDefault="00275716" w:rsidP="00275716">
      <w:pPr>
        <w:spacing w:after="0"/>
        <w:jc w:val="both"/>
        <w:rPr>
          <w:rFonts w:ascii="Mangal Pro" w:eastAsia="Mangal Pro" w:hAnsi="Mangal Pro" w:cs="Mangal Pro"/>
          <w:b/>
          <w:bCs/>
          <w:color w:val="auto"/>
        </w:rPr>
      </w:pPr>
    </w:p>
    <w:p w14:paraId="20EF50C5" w14:textId="77777777" w:rsidR="00275716" w:rsidRDefault="00275716" w:rsidP="00275716">
      <w:pPr>
        <w:spacing w:after="0"/>
        <w:jc w:val="both"/>
        <w:rPr>
          <w:rFonts w:ascii="Mangal Pro" w:eastAsia="Mangal Pro" w:hAnsi="Mangal Pro" w:cs="Mangal Pro"/>
          <w:b/>
          <w:bCs/>
          <w:color w:val="auto"/>
        </w:rPr>
      </w:pPr>
    </w:p>
    <w:p w14:paraId="7B82B21E" w14:textId="77777777" w:rsidR="00275716" w:rsidRDefault="00275716" w:rsidP="00275716">
      <w:pPr>
        <w:spacing w:after="0"/>
        <w:jc w:val="both"/>
        <w:rPr>
          <w:rFonts w:ascii="Mangal Pro" w:eastAsia="Mangal Pro" w:hAnsi="Mangal Pro" w:cs="Mangal Pro"/>
          <w:b/>
          <w:bCs/>
          <w:color w:val="auto"/>
        </w:rPr>
      </w:pPr>
    </w:p>
    <w:p w14:paraId="4C4553AD" w14:textId="77777777" w:rsidR="00275716" w:rsidRDefault="00275716" w:rsidP="00275716">
      <w:pPr>
        <w:spacing w:after="0"/>
        <w:jc w:val="both"/>
        <w:rPr>
          <w:rFonts w:ascii="Mangal Pro" w:eastAsia="Mangal Pro" w:hAnsi="Mangal Pro" w:cs="Mangal Pro"/>
          <w:b/>
          <w:bCs/>
          <w:color w:val="auto"/>
        </w:rPr>
      </w:pPr>
    </w:p>
    <w:p w14:paraId="690ECFC4" w14:textId="77777777" w:rsidR="00275716" w:rsidRDefault="00275716" w:rsidP="00275716">
      <w:pPr>
        <w:spacing w:after="0"/>
        <w:jc w:val="both"/>
        <w:rPr>
          <w:rFonts w:ascii="Mangal Pro" w:eastAsia="Mangal Pro" w:hAnsi="Mangal Pro" w:cs="Mangal Pro"/>
          <w:b/>
          <w:bCs/>
          <w:color w:val="auto"/>
        </w:rPr>
      </w:pPr>
    </w:p>
    <w:p w14:paraId="3D0BF2A9" w14:textId="1AA7E5D2" w:rsidR="00275716" w:rsidRPr="00C629F8" w:rsidRDefault="00275716" w:rsidP="00275716">
      <w:pPr>
        <w:spacing w:after="0"/>
        <w:jc w:val="both"/>
        <w:rPr>
          <w:rFonts w:ascii="Mangal Pro" w:eastAsia="Mangal Pro" w:hAnsi="Mangal Pro" w:cs="Mangal Pro"/>
          <w:b/>
          <w:bCs/>
          <w:color w:val="auto"/>
        </w:rPr>
      </w:pPr>
      <w:r w:rsidRPr="00C629F8">
        <w:rPr>
          <w:rFonts w:ascii="Mangal Pro" w:eastAsia="Mangal Pro" w:hAnsi="Mangal Pro" w:cs="Mangal Pro"/>
          <w:b/>
          <w:bCs/>
          <w:color w:val="auto"/>
        </w:rPr>
        <w:t>Helpful links and resources</w:t>
      </w:r>
    </w:p>
    <w:p w14:paraId="7A75D6C1" w14:textId="7DD0C71B" w:rsidR="00701919" w:rsidRPr="000A5C33" w:rsidRDefault="00275716" w:rsidP="00276BDA">
      <w:pPr>
        <w:jc w:val="both"/>
        <w:rPr>
          <w:rFonts w:ascii="Mangal Pro" w:eastAsia="Mangal Pro" w:hAnsi="Mangal Pro" w:cs="Mangal Pro"/>
          <w:sz w:val="18"/>
          <w:szCs w:val="18"/>
          <w:u w:val="single"/>
        </w:rPr>
      </w:pPr>
      <w:hyperlink r:id="rId12" w:history="1">
        <w:r w:rsidRPr="00C629F8">
          <w:rPr>
            <w:rStyle w:val="Hyperlink"/>
            <w:rFonts w:ascii="Mangal Pro" w:eastAsia="Mangal Pro" w:hAnsi="Mangal Pro" w:cs="Mangal Pro"/>
            <w:sz w:val="18"/>
            <w:szCs w:val="18"/>
          </w:rPr>
          <w:t>What are the benefits of Risky Play? - BBC Tiny Happy People</w:t>
        </w:r>
      </w:hyperlink>
    </w:p>
    <w:sectPr w:rsidR="00701919" w:rsidRPr="000A5C33" w:rsidSect="004647FC">
      <w:headerReference w:type="even" r:id="rId13"/>
      <w:headerReference w:type="default" r:id="rId14"/>
      <w:footerReference w:type="default" r:id="rId15"/>
      <w:headerReference w:type="first" r:id="rId16"/>
      <w:pgSz w:w="11906" w:h="16838"/>
      <w:pgMar w:top="1440" w:right="1440" w:bottom="1440" w:left="1440" w:header="708" w:footer="708" w:gutter="0"/>
      <w:pgBorders w:offsetFrom="page">
        <w:top w:val="single" w:sz="24" w:space="24" w:color="92D050"/>
        <w:left w:val="single" w:sz="24" w:space="24" w:color="92D050"/>
        <w:bottom w:val="single" w:sz="24" w:space="24" w:color="92D050"/>
        <w:right w:val="single" w:sz="24" w:space="24" w:color="92D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D724D" w14:textId="77777777" w:rsidR="00F15B1E" w:rsidRDefault="00F15B1E" w:rsidP="00495097">
      <w:pPr>
        <w:spacing w:after="0" w:line="240" w:lineRule="auto"/>
      </w:pPr>
      <w:r>
        <w:separator/>
      </w:r>
    </w:p>
  </w:endnote>
  <w:endnote w:type="continuationSeparator" w:id="0">
    <w:p w14:paraId="2B7F85D0" w14:textId="77777777" w:rsidR="00F15B1E" w:rsidRDefault="00F15B1E" w:rsidP="00495097">
      <w:pPr>
        <w:spacing w:after="0" w:line="240" w:lineRule="auto"/>
      </w:pPr>
      <w:r>
        <w:continuationSeparator/>
      </w:r>
    </w:p>
  </w:endnote>
  <w:endnote w:type="continuationNotice" w:id="1">
    <w:p w14:paraId="06658A6B" w14:textId="77777777" w:rsidR="00F15B1E" w:rsidRDefault="00F15B1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 Pro">
    <w:charset w:val="00"/>
    <w:family w:val="auto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F08B7" w14:textId="77777777" w:rsidR="00E020A6" w:rsidRDefault="00E020A6" w:rsidP="00E020A6">
    <w:pPr>
      <w:pStyle w:val="Footer"/>
    </w:pPr>
    <w:r>
      <w:t xml:space="preserve">Early Years Service (The Learning Environment) January 2025 </w:t>
    </w:r>
  </w:p>
  <w:p w14:paraId="303516E5" w14:textId="70C435A1" w:rsidR="00495097" w:rsidRPr="00E020A6" w:rsidRDefault="00E020A6" w:rsidP="00E020A6">
    <w:pPr>
      <w:pStyle w:val="Footer"/>
      <w:rPr>
        <w:i/>
        <w:iCs/>
      </w:rPr>
    </w:pPr>
    <w:r w:rsidRPr="00640A8B">
      <w:rPr>
        <w:i/>
        <w:iCs/>
      </w:rPr>
      <w:t>Photos used with consent from Gloucestershire settings</w:t>
    </w:r>
    <w:r>
      <w:rPr>
        <w:i/>
        <w:iCs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68671" w14:textId="77777777" w:rsidR="00F15B1E" w:rsidRDefault="00F15B1E" w:rsidP="00495097">
      <w:pPr>
        <w:spacing w:after="0" w:line="240" w:lineRule="auto"/>
      </w:pPr>
      <w:r>
        <w:separator/>
      </w:r>
    </w:p>
  </w:footnote>
  <w:footnote w:type="continuationSeparator" w:id="0">
    <w:p w14:paraId="23BF8FF4" w14:textId="77777777" w:rsidR="00F15B1E" w:rsidRDefault="00F15B1E" w:rsidP="00495097">
      <w:pPr>
        <w:spacing w:after="0" w:line="240" w:lineRule="auto"/>
      </w:pPr>
      <w:r>
        <w:continuationSeparator/>
      </w:r>
    </w:p>
  </w:footnote>
  <w:footnote w:type="continuationNotice" w:id="1">
    <w:p w14:paraId="7EC0C0C3" w14:textId="77777777" w:rsidR="00F15B1E" w:rsidRDefault="00F15B1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0DA38" w14:textId="41C7A2F1" w:rsidR="0035345F" w:rsidRDefault="003534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26B33" w14:textId="22C2CB53" w:rsidR="00F44818" w:rsidRDefault="00621066" w:rsidP="00621066">
    <w:pPr>
      <w:pStyle w:val="Header"/>
    </w:pPr>
    <w:r w:rsidRPr="00621066">
      <w:rPr>
        <w:rFonts w:ascii="Mangal Pro" w:hAnsi="Mangal Pro" w:cs="Mangal Pro"/>
        <w:b/>
        <w:bCs/>
      </w:rPr>
      <w:t>P.9</w:t>
    </w:r>
    <w:r>
      <w:rPr>
        <w:rFonts w:ascii="Mangal Pro" w:hAnsi="Mangal Pro" w:cs="Mangal Pro"/>
        <w:b/>
        <w:bCs/>
      </w:rPr>
      <w:tab/>
    </w:r>
    <w:r>
      <w:rPr>
        <w:rFonts w:ascii="Mangal Pro" w:hAnsi="Mangal Pro" w:cs="Mangal Pro"/>
        <w:b/>
        <w:bCs/>
      </w:rPr>
      <w:tab/>
    </w:r>
    <w:r w:rsidR="00F44818">
      <w:rPr>
        <w:noProof/>
      </w:rPr>
      <w:drawing>
        <wp:inline distT="0" distB="0" distL="0" distR="0" wp14:anchorId="5D49550B" wp14:editId="615073A4">
          <wp:extent cx="1762125" cy="361950"/>
          <wp:effectExtent l="0" t="0" r="0" b="0"/>
          <wp:docPr id="1221323882" name="Picture 1221323882" descr="A logo with blue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1323882" name="Picture 1221323882" descr="A logo with blue letter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2125" cy="361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E8C43" w14:textId="56CE4205" w:rsidR="0035345F" w:rsidRDefault="003534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47C7A"/>
    <w:multiLevelType w:val="multilevel"/>
    <w:tmpl w:val="70A86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7A1DF0"/>
    <w:multiLevelType w:val="hybridMultilevel"/>
    <w:tmpl w:val="594E9F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230E5D"/>
    <w:multiLevelType w:val="hybridMultilevel"/>
    <w:tmpl w:val="866E90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A72E95"/>
    <w:multiLevelType w:val="hybridMultilevel"/>
    <w:tmpl w:val="8C5ADC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3226EB"/>
    <w:multiLevelType w:val="hybridMultilevel"/>
    <w:tmpl w:val="7BD895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D732AA7"/>
    <w:multiLevelType w:val="hybridMultilevel"/>
    <w:tmpl w:val="09C069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68D63E1"/>
    <w:multiLevelType w:val="hybridMultilevel"/>
    <w:tmpl w:val="CF48AE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5BE1113"/>
    <w:multiLevelType w:val="hybridMultilevel"/>
    <w:tmpl w:val="93BE4C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87829CE"/>
    <w:multiLevelType w:val="hybridMultilevel"/>
    <w:tmpl w:val="026E99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D543A47"/>
    <w:multiLevelType w:val="hybridMultilevel"/>
    <w:tmpl w:val="FFC0FF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18791891">
    <w:abstractNumId w:val="0"/>
  </w:num>
  <w:num w:numId="2" w16cid:durableId="1367562583">
    <w:abstractNumId w:val="3"/>
  </w:num>
  <w:num w:numId="3" w16cid:durableId="814220891">
    <w:abstractNumId w:val="1"/>
  </w:num>
  <w:num w:numId="4" w16cid:durableId="1318388276">
    <w:abstractNumId w:val="6"/>
  </w:num>
  <w:num w:numId="5" w16cid:durableId="771437801">
    <w:abstractNumId w:val="2"/>
  </w:num>
  <w:num w:numId="6" w16cid:durableId="735929899">
    <w:abstractNumId w:val="8"/>
  </w:num>
  <w:num w:numId="7" w16cid:durableId="583103536">
    <w:abstractNumId w:val="4"/>
  </w:num>
  <w:num w:numId="8" w16cid:durableId="1767918825">
    <w:abstractNumId w:val="5"/>
  </w:num>
  <w:num w:numId="9" w16cid:durableId="1009984209">
    <w:abstractNumId w:val="9"/>
  </w:num>
  <w:num w:numId="10" w16cid:durableId="19769135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E79"/>
    <w:rsid w:val="000169BD"/>
    <w:rsid w:val="00022DFE"/>
    <w:rsid w:val="00054E0C"/>
    <w:rsid w:val="00060289"/>
    <w:rsid w:val="000636CD"/>
    <w:rsid w:val="00070528"/>
    <w:rsid w:val="00093561"/>
    <w:rsid w:val="000960C9"/>
    <w:rsid w:val="000A5C33"/>
    <w:rsid w:val="000B2E4C"/>
    <w:rsid w:val="000B4133"/>
    <w:rsid w:val="000C3380"/>
    <w:rsid w:val="000D0E3E"/>
    <w:rsid w:val="000E312A"/>
    <w:rsid w:val="000E3EE6"/>
    <w:rsid w:val="000F002F"/>
    <w:rsid w:val="001021C3"/>
    <w:rsid w:val="00104E71"/>
    <w:rsid w:val="00112DAE"/>
    <w:rsid w:val="001317F5"/>
    <w:rsid w:val="00136B0C"/>
    <w:rsid w:val="001463A7"/>
    <w:rsid w:val="00147DB2"/>
    <w:rsid w:val="001556D4"/>
    <w:rsid w:val="001568E3"/>
    <w:rsid w:val="00161174"/>
    <w:rsid w:val="00162DFE"/>
    <w:rsid w:val="00166799"/>
    <w:rsid w:val="001B4B85"/>
    <w:rsid w:val="001B67BE"/>
    <w:rsid w:val="001C7A0B"/>
    <w:rsid w:val="001E5651"/>
    <w:rsid w:val="001E6B42"/>
    <w:rsid w:val="001E6E96"/>
    <w:rsid w:val="0024583C"/>
    <w:rsid w:val="00250C89"/>
    <w:rsid w:val="0026267C"/>
    <w:rsid w:val="00262A7C"/>
    <w:rsid w:val="00275716"/>
    <w:rsid w:val="00276BDA"/>
    <w:rsid w:val="002A3CE5"/>
    <w:rsid w:val="0033577E"/>
    <w:rsid w:val="00345F57"/>
    <w:rsid w:val="003467C5"/>
    <w:rsid w:val="0035345F"/>
    <w:rsid w:val="00364C2C"/>
    <w:rsid w:val="00364FB2"/>
    <w:rsid w:val="003B6693"/>
    <w:rsid w:val="003B7CBE"/>
    <w:rsid w:val="003C1DA4"/>
    <w:rsid w:val="003C73E4"/>
    <w:rsid w:val="003E416A"/>
    <w:rsid w:val="003F0AC6"/>
    <w:rsid w:val="004126D6"/>
    <w:rsid w:val="00413C92"/>
    <w:rsid w:val="004443AD"/>
    <w:rsid w:val="00445804"/>
    <w:rsid w:val="00461CB2"/>
    <w:rsid w:val="004647FC"/>
    <w:rsid w:val="00495097"/>
    <w:rsid w:val="004D5467"/>
    <w:rsid w:val="004E5F8F"/>
    <w:rsid w:val="005014AA"/>
    <w:rsid w:val="00503526"/>
    <w:rsid w:val="00503DE9"/>
    <w:rsid w:val="0051593E"/>
    <w:rsid w:val="00541532"/>
    <w:rsid w:val="0054374F"/>
    <w:rsid w:val="00596717"/>
    <w:rsid w:val="005B0C18"/>
    <w:rsid w:val="005B6FF3"/>
    <w:rsid w:val="005C6EB7"/>
    <w:rsid w:val="005D2EC0"/>
    <w:rsid w:val="00621066"/>
    <w:rsid w:val="00622D05"/>
    <w:rsid w:val="00637DC3"/>
    <w:rsid w:val="00642D14"/>
    <w:rsid w:val="006441B9"/>
    <w:rsid w:val="006512D4"/>
    <w:rsid w:val="0065197B"/>
    <w:rsid w:val="0065411A"/>
    <w:rsid w:val="0066742D"/>
    <w:rsid w:val="00683FB2"/>
    <w:rsid w:val="00691F7C"/>
    <w:rsid w:val="006D40B8"/>
    <w:rsid w:val="00701919"/>
    <w:rsid w:val="00706C2B"/>
    <w:rsid w:val="0075039D"/>
    <w:rsid w:val="00761D0F"/>
    <w:rsid w:val="00764420"/>
    <w:rsid w:val="00772499"/>
    <w:rsid w:val="00773DCF"/>
    <w:rsid w:val="007804DA"/>
    <w:rsid w:val="007841E9"/>
    <w:rsid w:val="007879DB"/>
    <w:rsid w:val="00792C15"/>
    <w:rsid w:val="007956A1"/>
    <w:rsid w:val="007A48D1"/>
    <w:rsid w:val="007D1E37"/>
    <w:rsid w:val="007F36FC"/>
    <w:rsid w:val="00807338"/>
    <w:rsid w:val="00851918"/>
    <w:rsid w:val="00854F60"/>
    <w:rsid w:val="00855FDC"/>
    <w:rsid w:val="008668F3"/>
    <w:rsid w:val="00866CF1"/>
    <w:rsid w:val="008759E9"/>
    <w:rsid w:val="008A4256"/>
    <w:rsid w:val="008B7EBA"/>
    <w:rsid w:val="008C093C"/>
    <w:rsid w:val="008D5F88"/>
    <w:rsid w:val="008E1C12"/>
    <w:rsid w:val="00916C90"/>
    <w:rsid w:val="00936AE5"/>
    <w:rsid w:val="00966E79"/>
    <w:rsid w:val="0097314D"/>
    <w:rsid w:val="00977A4A"/>
    <w:rsid w:val="009A6715"/>
    <w:rsid w:val="009D2E1D"/>
    <w:rsid w:val="00A072A9"/>
    <w:rsid w:val="00A361DF"/>
    <w:rsid w:val="00A378C4"/>
    <w:rsid w:val="00A47011"/>
    <w:rsid w:val="00A47FEB"/>
    <w:rsid w:val="00A850A9"/>
    <w:rsid w:val="00A9070F"/>
    <w:rsid w:val="00AA1DE0"/>
    <w:rsid w:val="00AC0E79"/>
    <w:rsid w:val="00B04AB0"/>
    <w:rsid w:val="00B10ADB"/>
    <w:rsid w:val="00B11E2F"/>
    <w:rsid w:val="00B22C3B"/>
    <w:rsid w:val="00B61F2F"/>
    <w:rsid w:val="00B82701"/>
    <w:rsid w:val="00B83D67"/>
    <w:rsid w:val="00B862C6"/>
    <w:rsid w:val="00B90497"/>
    <w:rsid w:val="00BB5E94"/>
    <w:rsid w:val="00BC4419"/>
    <w:rsid w:val="00C25D10"/>
    <w:rsid w:val="00C33FFB"/>
    <w:rsid w:val="00C45005"/>
    <w:rsid w:val="00C46C5E"/>
    <w:rsid w:val="00C50722"/>
    <w:rsid w:val="00C51D82"/>
    <w:rsid w:val="00C52B84"/>
    <w:rsid w:val="00C629F8"/>
    <w:rsid w:val="00C86226"/>
    <w:rsid w:val="00D14E37"/>
    <w:rsid w:val="00D305BA"/>
    <w:rsid w:val="00D820E1"/>
    <w:rsid w:val="00D87ABF"/>
    <w:rsid w:val="00DB1E39"/>
    <w:rsid w:val="00DC7D32"/>
    <w:rsid w:val="00E020A6"/>
    <w:rsid w:val="00E155B3"/>
    <w:rsid w:val="00E17C4C"/>
    <w:rsid w:val="00E3070E"/>
    <w:rsid w:val="00E3522A"/>
    <w:rsid w:val="00E40DD0"/>
    <w:rsid w:val="00EA1CDF"/>
    <w:rsid w:val="00EB16D4"/>
    <w:rsid w:val="00ED1231"/>
    <w:rsid w:val="00EF640C"/>
    <w:rsid w:val="00EF65EC"/>
    <w:rsid w:val="00F15B1E"/>
    <w:rsid w:val="00F27066"/>
    <w:rsid w:val="00F44818"/>
    <w:rsid w:val="00F476FC"/>
    <w:rsid w:val="00F51221"/>
    <w:rsid w:val="00F9647A"/>
    <w:rsid w:val="00FF5E3A"/>
    <w:rsid w:val="012A0C72"/>
    <w:rsid w:val="10956DED"/>
    <w:rsid w:val="1F287F81"/>
    <w:rsid w:val="21C83DD7"/>
    <w:rsid w:val="227AAC0F"/>
    <w:rsid w:val="26D900E1"/>
    <w:rsid w:val="2A7E7F5B"/>
    <w:rsid w:val="2ACD7643"/>
    <w:rsid w:val="30B32F8B"/>
    <w:rsid w:val="31A5610F"/>
    <w:rsid w:val="33F9E015"/>
    <w:rsid w:val="343CABF5"/>
    <w:rsid w:val="3C0DDB9F"/>
    <w:rsid w:val="43AAC251"/>
    <w:rsid w:val="4417F165"/>
    <w:rsid w:val="46775F0E"/>
    <w:rsid w:val="46AF17F6"/>
    <w:rsid w:val="487E3374"/>
    <w:rsid w:val="4AB37054"/>
    <w:rsid w:val="4B59DFF9"/>
    <w:rsid w:val="527D1B30"/>
    <w:rsid w:val="543A9FA9"/>
    <w:rsid w:val="5E4262F7"/>
    <w:rsid w:val="5EAF920B"/>
    <w:rsid w:val="5FDE3358"/>
    <w:rsid w:val="60F60EF9"/>
    <w:rsid w:val="755AA1BA"/>
    <w:rsid w:val="7C7ED373"/>
    <w:rsid w:val="7FD5A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385CA4"/>
  <w15:chartTrackingRefBased/>
  <w15:docId w15:val="{B5DFA08B-EDE9-4E63-8D12-B5C1ED45E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color w:val="1C1C1C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66E79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en-GB"/>
    </w:rPr>
  </w:style>
  <w:style w:type="character" w:customStyle="1" w:styleId="blocktextemph">
    <w:name w:val="blocktextemph"/>
    <w:basedOn w:val="DefaultParagraphFont"/>
    <w:rsid w:val="00966E79"/>
  </w:style>
  <w:style w:type="character" w:customStyle="1" w:styleId="blocktextspecial">
    <w:name w:val="blocktextspecial"/>
    <w:basedOn w:val="DefaultParagraphFont"/>
    <w:rsid w:val="00966E79"/>
  </w:style>
  <w:style w:type="paragraph" w:styleId="ListParagraph">
    <w:name w:val="List Paragraph"/>
    <w:basedOn w:val="Normal"/>
    <w:uiPriority w:val="34"/>
    <w:qFormat/>
    <w:rsid w:val="001B4B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50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5097"/>
  </w:style>
  <w:style w:type="paragraph" w:styleId="Footer">
    <w:name w:val="footer"/>
    <w:basedOn w:val="Normal"/>
    <w:link w:val="FooterChar"/>
    <w:uiPriority w:val="99"/>
    <w:unhideWhenUsed/>
    <w:rsid w:val="004950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5097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1E6E96"/>
    <w:pPr>
      <w:spacing w:after="0" w:line="240" w:lineRule="auto"/>
    </w:pPr>
    <w:rPr>
      <w:rFonts w:asciiTheme="minorHAnsi" w:hAnsiTheme="minorHAnsi" w:cstheme="minorBidi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019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bbc.co.uk/tiny-happy-people/articles/znpwkty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90c2d67-7679-46c9-b24b-24bd8dbf062a" xsi:nil="true"/>
    <TaxCatchAll xmlns="1b1510d7-ad43-49b0-969d-ae5184f54a49" xsi:nil="true"/>
    <lcf76f155ced4ddcb4097134ff3c332f xmlns="c90c2d67-7679-46c9-b24b-24bd8dbf062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F92C8827A95448910F1B37C1A2B7A0" ma:contentTypeVersion="16" ma:contentTypeDescription="Create a new document." ma:contentTypeScope="" ma:versionID="05d4b8c8265169e62b2d7be6f9cfc03d">
  <xsd:schema xmlns:xsd="http://www.w3.org/2001/XMLSchema" xmlns:xs="http://www.w3.org/2001/XMLSchema" xmlns:p="http://schemas.microsoft.com/office/2006/metadata/properties" xmlns:ns2="c90c2d67-7679-46c9-b24b-24bd8dbf062a" xmlns:ns3="1b1510d7-ad43-49b0-969d-ae5184f54a49" targetNamespace="http://schemas.microsoft.com/office/2006/metadata/properties" ma:root="true" ma:fieldsID="3271dc21e1f85bdd7a3885b0b61e4ebd" ns2:_="" ns3:_="">
    <xsd:import namespace="c90c2d67-7679-46c9-b24b-24bd8dbf062a"/>
    <xsd:import namespace="1b1510d7-ad43-49b0-969d-ae5184f54a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c2d67-7679-46c9-b24b-24bd8dbf06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2" nillable="true" ma:displayName="Sign-off status" ma:internalName="Sign_x002d_off_x0020_status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dc966fa-4138-4b9c-b0e4-0cfe5a192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1510d7-ad43-49b0-969d-ae5184f54a4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3e8ad9e9-20e5-4579-a79d-3c3ae9829b63}" ma:internalName="TaxCatchAll" ma:showField="CatchAllData" ma:web="1b1510d7-ad43-49b0-969d-ae5184f54a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B8212C-43EB-4BF2-9010-B1ECF092FBE9}">
  <ds:schemaRefs>
    <ds:schemaRef ds:uri="http://schemas.microsoft.com/office/2006/metadata/properties"/>
    <ds:schemaRef ds:uri="http://schemas.microsoft.com/office/infopath/2007/PartnerControls"/>
    <ds:schemaRef ds:uri="c90c2d67-7679-46c9-b24b-24bd8dbf062a"/>
    <ds:schemaRef ds:uri="1b1510d7-ad43-49b0-969d-ae5184f54a49"/>
  </ds:schemaRefs>
</ds:datastoreItem>
</file>

<file path=customXml/itemProps2.xml><?xml version="1.0" encoding="utf-8"?>
<ds:datastoreItem xmlns:ds="http://schemas.openxmlformats.org/officeDocument/2006/customXml" ds:itemID="{716B74AB-E6B0-45C5-8489-92552B1F6E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771750-9B10-479E-BDAF-AC3D807710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Charlotte</dc:creator>
  <cp:keywords/>
  <dc:description/>
  <cp:lastModifiedBy>KIRBY, Stephanie</cp:lastModifiedBy>
  <cp:revision>79</cp:revision>
  <cp:lastPrinted>2025-03-25T12:40:00Z</cp:lastPrinted>
  <dcterms:created xsi:type="dcterms:W3CDTF">2024-06-17T19:01:00Z</dcterms:created>
  <dcterms:modified xsi:type="dcterms:W3CDTF">2025-03-27T14:39:00Z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0x01010042F92C8827A95448910F1B37C1A2B7A0</vt:lpwstr>
  </property>
  <property fmtid="{D5CDD505-2E9C-101B-9397-08002B2CF9AE}" pid="3" name="MediaServiceImageTags">
    <vt:lpwstr/>
  </property>
</Properties>
</file>