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4A" w:rsidRDefault="00C00D6A" w:rsidP="00364E4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182880</wp:posOffset>
            </wp:positionV>
            <wp:extent cx="5103495" cy="967105"/>
            <wp:effectExtent l="19050" t="0" r="190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3BC" w:rsidRPr="00364E4A" w:rsidRDefault="00364E4A" w:rsidP="006403BC">
      <w:pPr>
        <w:jc w:val="center"/>
        <w:rPr>
          <w:rFonts w:ascii="Arial" w:hAnsi="Arial" w:cs="Arial"/>
          <w:b/>
        </w:rPr>
      </w:pPr>
      <w:r w:rsidRPr="00364E4A">
        <w:rPr>
          <w:rFonts w:ascii="Arial" w:hAnsi="Arial" w:cs="Arial"/>
          <w:b/>
        </w:rPr>
        <w:t>Criminal Records Bureau and Independent Safeguarding Authority Vetting and Barring Scheme Panel</w:t>
      </w:r>
      <w:r w:rsidR="006403BC">
        <w:rPr>
          <w:rFonts w:ascii="Arial" w:hAnsi="Arial" w:cs="Arial"/>
          <w:b/>
        </w:rPr>
        <w:t xml:space="preserve"> </w:t>
      </w:r>
      <w:r w:rsidR="006403BC" w:rsidRPr="00364E4A">
        <w:rPr>
          <w:rFonts w:ascii="Arial" w:hAnsi="Arial" w:cs="Arial"/>
          <w:b/>
        </w:rPr>
        <w:t>Terms of Reference</w:t>
      </w:r>
    </w:p>
    <w:p w:rsidR="00364E4A" w:rsidRPr="00364E4A" w:rsidRDefault="00364E4A" w:rsidP="00364E4A">
      <w:pPr>
        <w:jc w:val="center"/>
        <w:rPr>
          <w:rFonts w:ascii="Arial" w:hAnsi="Arial" w:cs="Arial"/>
          <w:b/>
        </w:rPr>
      </w:pPr>
    </w:p>
    <w:p w:rsidR="00364E4A" w:rsidRPr="00364E4A" w:rsidRDefault="00364E4A" w:rsidP="00364E4A">
      <w:pPr>
        <w:jc w:val="both"/>
        <w:rPr>
          <w:rFonts w:ascii="Arial" w:hAnsi="Arial" w:cs="Arial"/>
          <w:b/>
        </w:rPr>
      </w:pPr>
      <w:r w:rsidRPr="00364E4A">
        <w:rPr>
          <w:rFonts w:ascii="Arial" w:hAnsi="Arial" w:cs="Arial"/>
          <w:b/>
        </w:rPr>
        <w:t>Introduction</w:t>
      </w:r>
    </w:p>
    <w:p w:rsidR="00364E4A" w:rsidRPr="00364E4A" w:rsidRDefault="00364E4A" w:rsidP="00364E4A">
      <w:pPr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The purpose of this document is to define the following for the GCC C</w:t>
      </w:r>
      <w:r w:rsidR="00B00BF4">
        <w:rPr>
          <w:rFonts w:ascii="Arial" w:hAnsi="Arial" w:cs="Arial"/>
        </w:rPr>
        <w:t xml:space="preserve">riminal </w:t>
      </w:r>
      <w:r w:rsidRPr="00364E4A">
        <w:rPr>
          <w:rFonts w:ascii="Arial" w:hAnsi="Arial" w:cs="Arial"/>
        </w:rPr>
        <w:t>R</w:t>
      </w:r>
      <w:r w:rsidR="00B00BF4">
        <w:rPr>
          <w:rFonts w:ascii="Arial" w:hAnsi="Arial" w:cs="Arial"/>
        </w:rPr>
        <w:t xml:space="preserve">ecords </w:t>
      </w:r>
      <w:r w:rsidRPr="00364E4A">
        <w:rPr>
          <w:rFonts w:ascii="Arial" w:hAnsi="Arial" w:cs="Arial"/>
        </w:rPr>
        <w:t>B</w:t>
      </w:r>
      <w:r w:rsidR="00B00BF4">
        <w:rPr>
          <w:rFonts w:ascii="Arial" w:hAnsi="Arial" w:cs="Arial"/>
        </w:rPr>
        <w:t>ureau (CRB)</w:t>
      </w:r>
      <w:r w:rsidRPr="00364E4A">
        <w:rPr>
          <w:rFonts w:ascii="Arial" w:hAnsi="Arial" w:cs="Arial"/>
        </w:rPr>
        <w:t xml:space="preserve"> Panel group:</w:t>
      </w:r>
    </w:p>
    <w:p w:rsidR="00364E4A" w:rsidRPr="00364E4A" w:rsidRDefault="00364E4A" w:rsidP="00364E4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Aims</w:t>
      </w:r>
    </w:p>
    <w:p w:rsidR="00364E4A" w:rsidRPr="00364E4A" w:rsidRDefault="00364E4A" w:rsidP="00364E4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Membership</w:t>
      </w:r>
    </w:p>
    <w:p w:rsidR="00364E4A" w:rsidRPr="00364E4A" w:rsidRDefault="00364E4A" w:rsidP="00364E4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Roles &amp; Responsibilities</w:t>
      </w:r>
    </w:p>
    <w:p w:rsidR="00364E4A" w:rsidRPr="00364E4A" w:rsidRDefault="00364E4A" w:rsidP="00364E4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The Process</w:t>
      </w:r>
    </w:p>
    <w:p w:rsidR="00364E4A" w:rsidRPr="00364E4A" w:rsidRDefault="00364E4A" w:rsidP="00364E4A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Reviewing the Process</w:t>
      </w:r>
    </w:p>
    <w:p w:rsidR="00364E4A" w:rsidRPr="00364E4A" w:rsidRDefault="00364E4A" w:rsidP="00364E4A">
      <w:pPr>
        <w:spacing w:before="120" w:after="120" w:line="360" w:lineRule="auto"/>
        <w:jc w:val="both"/>
        <w:rPr>
          <w:rFonts w:ascii="Arial" w:hAnsi="Arial" w:cs="Arial"/>
        </w:rPr>
      </w:pPr>
      <w:r w:rsidRPr="00364E4A">
        <w:rPr>
          <w:rFonts w:ascii="Arial" w:hAnsi="Arial" w:cs="Arial"/>
        </w:rPr>
        <w:t>These terms of reference will be reviewed every twelve months and/ or alternatively if at any stage it is found to be ineffective.</w:t>
      </w:r>
    </w:p>
    <w:p w:rsidR="00364E4A" w:rsidRPr="00364E4A" w:rsidRDefault="00364E4A" w:rsidP="00364E4A">
      <w:pPr>
        <w:pStyle w:val="BodyText2"/>
        <w:spacing w:line="360" w:lineRule="auto"/>
        <w:jc w:val="both"/>
        <w:rPr>
          <w:rFonts w:cs="Arial"/>
          <w:sz w:val="22"/>
          <w:szCs w:val="22"/>
        </w:rPr>
      </w:pPr>
      <w:r w:rsidRPr="00364E4A">
        <w:rPr>
          <w:rFonts w:cs="Arial"/>
          <w:sz w:val="22"/>
          <w:szCs w:val="22"/>
        </w:rPr>
        <w:t>Aims</w:t>
      </w:r>
    </w:p>
    <w:p w:rsidR="00364E4A" w:rsidRPr="00364E4A" w:rsidRDefault="00364E4A" w:rsidP="00364E4A">
      <w:pPr>
        <w:pStyle w:val="BodyText2"/>
        <w:numPr>
          <w:ilvl w:val="0"/>
          <w:numId w:val="2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>To ensure a robust and effective approach to Safeguarding within Glou</w:t>
      </w:r>
      <w:r w:rsidR="005C6D52">
        <w:rPr>
          <w:rFonts w:cs="Arial"/>
          <w:b w:val="0"/>
          <w:sz w:val="22"/>
          <w:szCs w:val="22"/>
        </w:rPr>
        <w:t>cestershire.</w:t>
      </w:r>
    </w:p>
    <w:p w:rsidR="00364E4A" w:rsidRPr="00364E4A" w:rsidRDefault="00364E4A" w:rsidP="00364E4A">
      <w:pPr>
        <w:pStyle w:val="BodyText2"/>
        <w:numPr>
          <w:ilvl w:val="0"/>
          <w:numId w:val="2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>To provide good practice and guidance to managers making recruitment decisions.</w:t>
      </w:r>
    </w:p>
    <w:p w:rsidR="00364E4A" w:rsidRPr="00364E4A" w:rsidRDefault="00364E4A" w:rsidP="00364E4A">
      <w:pPr>
        <w:pStyle w:val="BodyText2"/>
        <w:numPr>
          <w:ilvl w:val="0"/>
          <w:numId w:val="2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>To provide advice and support to managers</w:t>
      </w:r>
      <w:r w:rsidR="005C6D52">
        <w:rPr>
          <w:rFonts w:cs="Arial"/>
          <w:b w:val="0"/>
          <w:sz w:val="22"/>
          <w:szCs w:val="22"/>
        </w:rPr>
        <w:t xml:space="preserve">, </w:t>
      </w:r>
      <w:r w:rsidRPr="00364E4A">
        <w:rPr>
          <w:rFonts w:cs="Arial"/>
          <w:b w:val="0"/>
          <w:sz w:val="22"/>
          <w:szCs w:val="22"/>
        </w:rPr>
        <w:t>staff</w:t>
      </w:r>
      <w:r w:rsidR="005C6D52">
        <w:rPr>
          <w:rFonts w:cs="Arial"/>
          <w:b w:val="0"/>
          <w:sz w:val="22"/>
          <w:szCs w:val="22"/>
        </w:rPr>
        <w:t xml:space="preserve"> and all employers using the GCC CRB Umbrella Body</w:t>
      </w:r>
      <w:r w:rsidRPr="00364E4A">
        <w:rPr>
          <w:rFonts w:cs="Arial"/>
          <w:b w:val="0"/>
          <w:sz w:val="22"/>
          <w:szCs w:val="22"/>
        </w:rPr>
        <w:t xml:space="preserve"> in relation to CRB related matters.</w:t>
      </w:r>
    </w:p>
    <w:p w:rsidR="00364E4A" w:rsidRPr="00364E4A" w:rsidRDefault="00364E4A" w:rsidP="00364E4A">
      <w:pPr>
        <w:pStyle w:val="BodyText2"/>
        <w:numPr>
          <w:ilvl w:val="0"/>
          <w:numId w:val="2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 xml:space="preserve">To provide consistent and clear advice when CRB disclosures reveal criminal convictions. </w:t>
      </w:r>
    </w:p>
    <w:p w:rsidR="00364E4A" w:rsidRPr="00364E4A" w:rsidRDefault="00C22E02" w:rsidP="00364E4A">
      <w:pPr>
        <w:pStyle w:val="BodyText2"/>
        <w:spacing w:before="120" w:after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364E4A" w:rsidRPr="00364E4A">
        <w:rPr>
          <w:rFonts w:cs="Arial"/>
          <w:sz w:val="22"/>
          <w:szCs w:val="22"/>
        </w:rPr>
        <w:t>embership</w:t>
      </w:r>
    </w:p>
    <w:p w:rsidR="00C00D6A" w:rsidRDefault="00C00D6A" w:rsidP="00C00D6A">
      <w:pPr>
        <w:pStyle w:val="BodyText2"/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 xml:space="preserve">The CRB Panel consists of the GCC </w:t>
      </w:r>
      <w:r w:rsidR="00A85044" w:rsidRPr="00A85044">
        <w:rPr>
          <w:rFonts w:cs="Arial"/>
          <w:b w:val="0"/>
          <w:sz w:val="22"/>
          <w:szCs w:val="22"/>
        </w:rPr>
        <w:t>CRB Registered Body Lead Signatory</w:t>
      </w:r>
      <w:r>
        <w:rPr>
          <w:rFonts w:cs="Arial"/>
          <w:b w:val="0"/>
          <w:sz w:val="22"/>
          <w:szCs w:val="22"/>
        </w:rPr>
        <w:t xml:space="preserve">, senior </w:t>
      </w:r>
      <w:r w:rsidRPr="00364E4A">
        <w:rPr>
          <w:rFonts w:cs="Arial"/>
          <w:b w:val="0"/>
          <w:sz w:val="22"/>
          <w:szCs w:val="22"/>
        </w:rPr>
        <w:t>representative</w:t>
      </w:r>
      <w:r>
        <w:rPr>
          <w:rFonts w:cs="Arial"/>
          <w:b w:val="0"/>
          <w:sz w:val="22"/>
          <w:szCs w:val="22"/>
        </w:rPr>
        <w:t>s</w:t>
      </w:r>
      <w:r w:rsidRPr="00364E4A">
        <w:rPr>
          <w:rFonts w:cs="Arial"/>
          <w:b w:val="0"/>
          <w:sz w:val="22"/>
          <w:szCs w:val="22"/>
        </w:rPr>
        <w:t xml:space="preserve"> from C</w:t>
      </w:r>
      <w:r>
        <w:rPr>
          <w:rFonts w:cs="Arial"/>
          <w:b w:val="0"/>
          <w:sz w:val="22"/>
          <w:szCs w:val="22"/>
        </w:rPr>
        <w:t xml:space="preserve">hildren and </w:t>
      </w:r>
      <w:r w:rsidR="009729A2">
        <w:rPr>
          <w:rFonts w:cs="Arial"/>
          <w:b w:val="0"/>
          <w:sz w:val="22"/>
          <w:szCs w:val="22"/>
        </w:rPr>
        <w:t xml:space="preserve">Families </w:t>
      </w:r>
      <w:proofErr w:type="gramStart"/>
      <w:r w:rsidR="009729A2">
        <w:rPr>
          <w:rFonts w:cs="Arial"/>
          <w:b w:val="0"/>
          <w:sz w:val="22"/>
          <w:szCs w:val="22"/>
        </w:rPr>
        <w:t xml:space="preserve">Services </w:t>
      </w:r>
      <w:r w:rsidRPr="00364E4A">
        <w:rPr>
          <w:rFonts w:cs="Arial"/>
          <w:b w:val="0"/>
          <w:sz w:val="22"/>
          <w:szCs w:val="22"/>
        </w:rPr>
        <w:t>,</w:t>
      </w:r>
      <w:proofErr w:type="gramEnd"/>
      <w:r w:rsidRPr="00364E4A">
        <w:rPr>
          <w:rFonts w:cs="Arial"/>
          <w:b w:val="0"/>
          <w:sz w:val="22"/>
          <w:szCs w:val="22"/>
        </w:rPr>
        <w:t xml:space="preserve">  Adult</w:t>
      </w:r>
      <w:r>
        <w:rPr>
          <w:rFonts w:cs="Arial"/>
          <w:b w:val="0"/>
          <w:sz w:val="22"/>
          <w:szCs w:val="22"/>
        </w:rPr>
        <w:t xml:space="preserve"> Care </w:t>
      </w:r>
      <w:r w:rsidR="009729A2">
        <w:rPr>
          <w:rFonts w:cs="Arial"/>
          <w:b w:val="0"/>
          <w:sz w:val="22"/>
          <w:szCs w:val="22"/>
        </w:rPr>
        <w:t xml:space="preserve">Services </w:t>
      </w:r>
      <w:r>
        <w:rPr>
          <w:rFonts w:cs="Arial"/>
          <w:b w:val="0"/>
          <w:sz w:val="22"/>
          <w:szCs w:val="22"/>
        </w:rPr>
        <w:t xml:space="preserve">, a </w:t>
      </w:r>
      <w:r w:rsidR="00B00BF4">
        <w:rPr>
          <w:rFonts w:cs="Arial"/>
          <w:b w:val="0"/>
          <w:sz w:val="22"/>
          <w:szCs w:val="22"/>
        </w:rPr>
        <w:t xml:space="preserve">Customer and Performance Manager </w:t>
      </w:r>
      <w:r w:rsidR="009729A2">
        <w:rPr>
          <w:rFonts w:cs="Arial"/>
          <w:b w:val="0"/>
          <w:sz w:val="22"/>
          <w:szCs w:val="22"/>
        </w:rPr>
        <w:t xml:space="preserve"> Integrated Transport Unit</w:t>
      </w:r>
      <w:r w:rsidRPr="00364E4A">
        <w:rPr>
          <w:rFonts w:cs="Arial"/>
          <w:b w:val="0"/>
          <w:sz w:val="22"/>
          <w:szCs w:val="22"/>
        </w:rPr>
        <w:t xml:space="preserve">, </w:t>
      </w:r>
      <w:r w:rsidR="00B00BF4">
        <w:rPr>
          <w:rFonts w:cs="Arial"/>
          <w:b w:val="0"/>
          <w:sz w:val="22"/>
          <w:szCs w:val="22"/>
        </w:rPr>
        <w:t>a member of the C</w:t>
      </w:r>
      <w:r w:rsidR="009729A2">
        <w:rPr>
          <w:rFonts w:cs="Arial"/>
          <w:b w:val="0"/>
          <w:sz w:val="22"/>
          <w:szCs w:val="22"/>
        </w:rPr>
        <w:t>hildrens</w:t>
      </w:r>
      <w:r w:rsidR="007B1351">
        <w:rPr>
          <w:rFonts w:cs="Arial"/>
          <w:b w:val="0"/>
          <w:sz w:val="22"/>
          <w:szCs w:val="22"/>
        </w:rPr>
        <w:t xml:space="preserve"> </w:t>
      </w:r>
      <w:r w:rsidR="00B00BF4">
        <w:rPr>
          <w:rFonts w:cs="Arial"/>
          <w:b w:val="0"/>
          <w:sz w:val="22"/>
          <w:szCs w:val="22"/>
        </w:rPr>
        <w:t xml:space="preserve">Safeguarding team and </w:t>
      </w:r>
      <w:r w:rsidRPr="00364E4A">
        <w:rPr>
          <w:rFonts w:cs="Arial"/>
          <w:b w:val="0"/>
          <w:sz w:val="22"/>
          <w:szCs w:val="22"/>
        </w:rPr>
        <w:t>members of the Business Service Centre (BSC) CRB Team</w:t>
      </w:r>
      <w:r w:rsidR="00B00BF4">
        <w:rPr>
          <w:rFonts w:cs="Arial"/>
          <w:b w:val="0"/>
          <w:sz w:val="22"/>
          <w:szCs w:val="22"/>
        </w:rPr>
        <w:t>,</w:t>
      </w:r>
      <w:r w:rsidRPr="00364E4A">
        <w:rPr>
          <w:rFonts w:cs="Arial"/>
          <w:b w:val="0"/>
          <w:sz w:val="22"/>
          <w:szCs w:val="22"/>
        </w:rPr>
        <w:t xml:space="preserve"> </w:t>
      </w:r>
    </w:p>
    <w:p w:rsidR="006403BC" w:rsidRDefault="006403BC" w:rsidP="00364E4A">
      <w:pPr>
        <w:pStyle w:val="BodyText2"/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</w:p>
    <w:p w:rsidR="00C00D6A" w:rsidRDefault="00C00D6A" w:rsidP="00364E4A">
      <w:pPr>
        <w:pStyle w:val="BodyText2"/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</w:p>
    <w:p w:rsidR="00364E4A" w:rsidRPr="00364E4A" w:rsidRDefault="00364E4A" w:rsidP="00364E4A">
      <w:pPr>
        <w:pStyle w:val="BodyText2"/>
        <w:spacing w:before="120" w:after="120" w:line="360" w:lineRule="auto"/>
        <w:jc w:val="both"/>
        <w:rPr>
          <w:rFonts w:cs="Arial"/>
          <w:sz w:val="22"/>
          <w:szCs w:val="22"/>
        </w:rPr>
      </w:pPr>
      <w:r w:rsidRPr="00364E4A">
        <w:rPr>
          <w:rFonts w:cs="Arial"/>
          <w:sz w:val="22"/>
          <w:szCs w:val="22"/>
        </w:rPr>
        <w:t>Roles &amp; Responsibilities</w:t>
      </w:r>
    </w:p>
    <w:p w:rsidR="00364E4A" w:rsidRPr="006403BC" w:rsidRDefault="00364E4A" w:rsidP="00364E4A">
      <w:pPr>
        <w:pStyle w:val="BodyText2"/>
        <w:spacing w:line="360" w:lineRule="auto"/>
        <w:jc w:val="both"/>
        <w:rPr>
          <w:rFonts w:cs="Arial"/>
          <w:b w:val="0"/>
          <w:sz w:val="22"/>
          <w:szCs w:val="22"/>
        </w:rPr>
      </w:pPr>
      <w:r w:rsidRPr="006403BC">
        <w:rPr>
          <w:rFonts w:cs="Arial"/>
          <w:b w:val="0"/>
          <w:sz w:val="22"/>
          <w:szCs w:val="22"/>
        </w:rPr>
        <w:t>To ensure that a consistent approach is maintained, it is important that roles and responsibilities are clearly defined:</w:t>
      </w:r>
    </w:p>
    <w:p w:rsidR="00364E4A" w:rsidRPr="006403BC" w:rsidRDefault="003C7A51" w:rsidP="00364E4A">
      <w:pPr>
        <w:pStyle w:val="BodyText2"/>
        <w:numPr>
          <w:ilvl w:val="0"/>
          <w:numId w:val="3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The Chair of the Panel </w:t>
      </w:r>
      <w:r w:rsidR="00364E4A" w:rsidRPr="006403BC">
        <w:rPr>
          <w:rFonts w:cs="Arial"/>
          <w:b w:val="0"/>
          <w:sz w:val="22"/>
          <w:szCs w:val="22"/>
        </w:rPr>
        <w:t>will ensure that an</w:t>
      </w:r>
      <w:r w:rsidR="006403BC">
        <w:rPr>
          <w:rFonts w:cs="Arial"/>
          <w:b w:val="0"/>
          <w:sz w:val="22"/>
          <w:szCs w:val="22"/>
        </w:rPr>
        <w:t xml:space="preserve"> active membership of the group</w:t>
      </w:r>
      <w:r w:rsidR="00364E4A" w:rsidRPr="006403BC">
        <w:rPr>
          <w:rFonts w:cs="Arial"/>
          <w:b w:val="0"/>
          <w:sz w:val="22"/>
          <w:szCs w:val="22"/>
        </w:rPr>
        <w:t xml:space="preserve"> is maintained. This will include the addition, change or withdrawal of members and should be determined by attendance and value added to the group.</w:t>
      </w:r>
    </w:p>
    <w:p w:rsidR="00364E4A" w:rsidRPr="006403BC" w:rsidRDefault="00364E4A" w:rsidP="00364E4A">
      <w:pPr>
        <w:pStyle w:val="BodyText2"/>
        <w:numPr>
          <w:ilvl w:val="0"/>
          <w:numId w:val="3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6403BC">
        <w:rPr>
          <w:rFonts w:cs="Arial"/>
          <w:b w:val="0"/>
          <w:sz w:val="22"/>
          <w:szCs w:val="22"/>
        </w:rPr>
        <w:t>The BSC CRB</w:t>
      </w:r>
      <w:r w:rsidR="00C22E02" w:rsidRPr="006403BC">
        <w:rPr>
          <w:rFonts w:cs="Arial"/>
          <w:b w:val="0"/>
          <w:sz w:val="22"/>
          <w:szCs w:val="22"/>
        </w:rPr>
        <w:t xml:space="preserve"> Team</w:t>
      </w:r>
      <w:r w:rsidRPr="006403BC">
        <w:rPr>
          <w:rFonts w:cs="Arial"/>
          <w:b w:val="0"/>
          <w:sz w:val="22"/>
          <w:szCs w:val="22"/>
        </w:rPr>
        <w:t xml:space="preserve"> representative will be responsible for the administration of the Panel </w:t>
      </w:r>
      <w:r w:rsidR="006403BC">
        <w:rPr>
          <w:rFonts w:cs="Arial"/>
          <w:b w:val="0"/>
          <w:sz w:val="22"/>
          <w:szCs w:val="22"/>
        </w:rPr>
        <w:t>meeting</w:t>
      </w:r>
      <w:r w:rsidRPr="006403BC">
        <w:rPr>
          <w:rFonts w:cs="Arial"/>
          <w:b w:val="0"/>
          <w:sz w:val="22"/>
          <w:szCs w:val="22"/>
        </w:rPr>
        <w:t>, including the taking and distribution of minutes.</w:t>
      </w:r>
    </w:p>
    <w:p w:rsidR="00364E4A" w:rsidRPr="006403BC" w:rsidRDefault="00364E4A" w:rsidP="00364E4A">
      <w:pPr>
        <w:pStyle w:val="BodyText2"/>
        <w:numPr>
          <w:ilvl w:val="0"/>
          <w:numId w:val="3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6403BC">
        <w:rPr>
          <w:rFonts w:cs="Arial"/>
          <w:b w:val="0"/>
          <w:sz w:val="22"/>
          <w:szCs w:val="22"/>
        </w:rPr>
        <w:lastRenderedPageBreak/>
        <w:t>The BSC CRB</w:t>
      </w:r>
      <w:r w:rsidR="00C22E02" w:rsidRPr="006403BC">
        <w:rPr>
          <w:rFonts w:cs="Arial"/>
          <w:b w:val="0"/>
          <w:sz w:val="22"/>
          <w:szCs w:val="22"/>
        </w:rPr>
        <w:t xml:space="preserve"> Team</w:t>
      </w:r>
      <w:r w:rsidRPr="006403BC">
        <w:rPr>
          <w:rFonts w:cs="Arial"/>
          <w:b w:val="0"/>
          <w:sz w:val="22"/>
          <w:szCs w:val="22"/>
        </w:rPr>
        <w:t xml:space="preserve"> representative will be responsible for arranging and inviting all group members to all meetings.</w:t>
      </w:r>
    </w:p>
    <w:p w:rsidR="00364E4A" w:rsidRPr="006403BC" w:rsidRDefault="00364E4A" w:rsidP="00364E4A">
      <w:pPr>
        <w:pStyle w:val="BodyText2"/>
        <w:numPr>
          <w:ilvl w:val="0"/>
          <w:numId w:val="3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6403BC">
        <w:rPr>
          <w:rFonts w:cs="Arial"/>
          <w:b w:val="0"/>
          <w:sz w:val="22"/>
          <w:szCs w:val="22"/>
        </w:rPr>
        <w:t>All members of the group are responsible for ensuring that all documentation relating to disclosures is handled in accordance with the CRB Code of Practice.</w:t>
      </w:r>
    </w:p>
    <w:p w:rsidR="00364E4A" w:rsidRPr="00364E4A" w:rsidRDefault="00364E4A" w:rsidP="00364E4A">
      <w:pPr>
        <w:pStyle w:val="BodyText2"/>
        <w:spacing w:before="120" w:after="120" w:line="360" w:lineRule="auto"/>
        <w:jc w:val="both"/>
        <w:rPr>
          <w:rFonts w:cs="Arial"/>
          <w:sz w:val="22"/>
          <w:szCs w:val="22"/>
        </w:rPr>
      </w:pPr>
      <w:r w:rsidRPr="00364E4A">
        <w:rPr>
          <w:rFonts w:cs="Arial"/>
          <w:sz w:val="22"/>
          <w:szCs w:val="22"/>
        </w:rPr>
        <w:t>The Process</w:t>
      </w:r>
    </w:p>
    <w:p w:rsidR="00364E4A" w:rsidRDefault="00364E4A" w:rsidP="00364E4A">
      <w:pPr>
        <w:pStyle w:val="BodyText2"/>
        <w:numPr>
          <w:ilvl w:val="0"/>
          <w:numId w:val="4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 w:rsidRPr="00364E4A">
        <w:rPr>
          <w:rFonts w:cs="Arial"/>
          <w:b w:val="0"/>
          <w:sz w:val="22"/>
          <w:szCs w:val="22"/>
        </w:rPr>
        <w:t>The CRB Panel will meet as is deemed necessary to discuss and review unclear CRB disclosures in line with the CRB Policy and Procedures.</w:t>
      </w:r>
    </w:p>
    <w:p w:rsidR="003C7A51" w:rsidRDefault="003C7A51" w:rsidP="00364E4A">
      <w:pPr>
        <w:pStyle w:val="BodyText2"/>
        <w:numPr>
          <w:ilvl w:val="0"/>
          <w:numId w:val="4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The Panel will ensure that information contained on CRB Disclosures is considered carefully while taking into account the role applied for, the person’s age at the time of the offences</w:t>
      </w:r>
      <w:r w:rsidR="002068AB">
        <w:rPr>
          <w:rFonts w:cs="Arial"/>
          <w:b w:val="0"/>
          <w:sz w:val="22"/>
          <w:szCs w:val="22"/>
        </w:rPr>
        <w:t xml:space="preserve"> and </w:t>
      </w:r>
      <w:r>
        <w:rPr>
          <w:rFonts w:cs="Arial"/>
          <w:b w:val="0"/>
          <w:sz w:val="22"/>
          <w:szCs w:val="22"/>
        </w:rPr>
        <w:t xml:space="preserve">the length of time elapsed. The Panel will request written clarification from the applicant when appropriate and will check any discrepancies with the CRB Disclosure Officer </w:t>
      </w:r>
      <w:r w:rsidR="009729A2">
        <w:rPr>
          <w:rFonts w:cs="Arial"/>
          <w:b w:val="0"/>
          <w:sz w:val="22"/>
          <w:szCs w:val="22"/>
        </w:rPr>
        <w:t>within Gloucestershire Policy Authority</w:t>
      </w:r>
      <w:r>
        <w:rPr>
          <w:rFonts w:cs="Arial"/>
          <w:b w:val="0"/>
          <w:sz w:val="22"/>
          <w:szCs w:val="22"/>
        </w:rPr>
        <w:t xml:space="preserve"> as necessary.</w:t>
      </w:r>
    </w:p>
    <w:p w:rsidR="003C7A51" w:rsidRPr="00364E4A" w:rsidRDefault="003C7A51" w:rsidP="00364E4A">
      <w:pPr>
        <w:pStyle w:val="BodyText2"/>
        <w:numPr>
          <w:ilvl w:val="0"/>
          <w:numId w:val="4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If the Panel decides </w:t>
      </w:r>
      <w:r w:rsidR="009729A2">
        <w:rPr>
          <w:rFonts w:cs="Arial"/>
          <w:b w:val="0"/>
          <w:sz w:val="22"/>
          <w:szCs w:val="22"/>
        </w:rPr>
        <w:t xml:space="preserve">to </w:t>
      </w:r>
      <w:r>
        <w:rPr>
          <w:rFonts w:cs="Arial"/>
          <w:b w:val="0"/>
          <w:sz w:val="22"/>
          <w:szCs w:val="22"/>
        </w:rPr>
        <w:t xml:space="preserve">refuse clearance for an individual, </w:t>
      </w:r>
      <w:r w:rsidR="00963E47">
        <w:rPr>
          <w:rFonts w:cs="Arial"/>
          <w:b w:val="0"/>
          <w:sz w:val="22"/>
          <w:szCs w:val="22"/>
        </w:rPr>
        <w:t>a right of appeal will be offered and written representations will be considered.</w:t>
      </w:r>
    </w:p>
    <w:p w:rsidR="006403BC" w:rsidRDefault="009729A2" w:rsidP="00364E4A">
      <w:pPr>
        <w:pStyle w:val="BodyText2"/>
        <w:spacing w:before="120" w:after="120"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Frequency of meetings</w:t>
      </w:r>
    </w:p>
    <w:p w:rsidR="00D546F7" w:rsidRDefault="009729A2">
      <w:pPr>
        <w:pStyle w:val="BodyText2"/>
        <w:numPr>
          <w:ilvl w:val="0"/>
          <w:numId w:val="5"/>
        </w:numPr>
        <w:spacing w:before="120" w:after="120" w:line="360" w:lineRule="auto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Fortnightly</w:t>
      </w:r>
    </w:p>
    <w:p w:rsidR="00364E4A" w:rsidRPr="00364E4A" w:rsidRDefault="00364E4A" w:rsidP="00364E4A">
      <w:pPr>
        <w:pStyle w:val="BodyText2"/>
        <w:spacing w:before="120" w:after="120" w:line="360" w:lineRule="auto"/>
        <w:jc w:val="both"/>
        <w:rPr>
          <w:rFonts w:cs="Arial"/>
          <w:sz w:val="22"/>
          <w:szCs w:val="22"/>
        </w:rPr>
      </w:pPr>
      <w:r w:rsidRPr="00364E4A">
        <w:rPr>
          <w:rFonts w:cs="Arial"/>
          <w:sz w:val="22"/>
          <w:szCs w:val="22"/>
        </w:rPr>
        <w:t>Reviewing the Process</w:t>
      </w:r>
    </w:p>
    <w:p w:rsidR="00EB0F79" w:rsidRPr="00C22E02" w:rsidRDefault="00364E4A" w:rsidP="00C22E02">
      <w:pPr>
        <w:pStyle w:val="BodyText2"/>
        <w:spacing w:before="120" w:after="120" w:line="360" w:lineRule="auto"/>
        <w:jc w:val="both"/>
        <w:rPr>
          <w:b w:val="0"/>
        </w:rPr>
      </w:pPr>
      <w:r w:rsidRPr="00C22E02">
        <w:rPr>
          <w:b w:val="0"/>
        </w:rPr>
        <w:t>This process will be reviewed and may be updated</w:t>
      </w:r>
      <w:r w:rsidR="00363ED1">
        <w:rPr>
          <w:b w:val="0"/>
        </w:rPr>
        <w:t xml:space="preserve"> </w:t>
      </w:r>
      <w:r w:rsidR="00B00BF4">
        <w:rPr>
          <w:b w:val="0"/>
        </w:rPr>
        <w:t>as required, at a minimum every 12 months</w:t>
      </w:r>
      <w:r w:rsidR="002068AB">
        <w:rPr>
          <w:b w:val="0"/>
        </w:rPr>
        <w:t xml:space="preserve"> in conjunction with the LA’s CRB Policy.</w:t>
      </w:r>
    </w:p>
    <w:sectPr w:rsidR="00EB0F79" w:rsidRPr="00C22E02" w:rsidSect="00364E4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B3" w:rsidRDefault="008C09B3" w:rsidP="00114A32">
      <w:pPr>
        <w:spacing w:after="0" w:line="240" w:lineRule="auto"/>
      </w:pPr>
      <w:r>
        <w:separator/>
      </w:r>
    </w:p>
  </w:endnote>
  <w:endnote w:type="continuationSeparator" w:id="0">
    <w:p w:rsidR="008C09B3" w:rsidRDefault="008C09B3" w:rsidP="001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0470"/>
      <w:docPartObj>
        <w:docPartGallery w:val="Page Numbers (Bottom of Page)"/>
        <w:docPartUnique/>
      </w:docPartObj>
    </w:sdtPr>
    <w:sdtContent>
      <w:p w:rsidR="00114A32" w:rsidRDefault="003C7A51" w:rsidP="003C7A51">
        <w:pPr>
          <w:pStyle w:val="Footer"/>
        </w:pPr>
        <w:proofErr w:type="gramStart"/>
        <w:r>
          <w:t>Updated  Feb</w:t>
        </w:r>
        <w:proofErr w:type="gramEnd"/>
        <w:r>
          <w:t xml:space="preserve"> 2012</w:t>
        </w:r>
      </w:p>
    </w:sdtContent>
  </w:sdt>
  <w:p w:rsidR="00114A32" w:rsidRDefault="00114A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B3" w:rsidRDefault="008C09B3" w:rsidP="00114A32">
      <w:pPr>
        <w:spacing w:after="0" w:line="240" w:lineRule="auto"/>
      </w:pPr>
      <w:r>
        <w:separator/>
      </w:r>
    </w:p>
  </w:footnote>
  <w:footnote w:type="continuationSeparator" w:id="0">
    <w:p w:rsidR="008C09B3" w:rsidRDefault="008C09B3" w:rsidP="0011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F42"/>
    <w:multiLevelType w:val="hybridMultilevel"/>
    <w:tmpl w:val="670EDAAE"/>
    <w:lvl w:ilvl="0" w:tplc="6BFAD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25BE8"/>
    <w:multiLevelType w:val="hybridMultilevel"/>
    <w:tmpl w:val="5C22ECAC"/>
    <w:lvl w:ilvl="0" w:tplc="6BFAD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3971DD"/>
    <w:multiLevelType w:val="hybridMultilevel"/>
    <w:tmpl w:val="190E6C78"/>
    <w:lvl w:ilvl="0" w:tplc="6BFAD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EE3B16"/>
    <w:multiLevelType w:val="hybridMultilevel"/>
    <w:tmpl w:val="FA86A5CA"/>
    <w:lvl w:ilvl="0" w:tplc="6BFAD5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1F1939"/>
    <w:multiLevelType w:val="hybridMultilevel"/>
    <w:tmpl w:val="C792B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364E4A"/>
    <w:rsid w:val="0001466A"/>
    <w:rsid w:val="00114A32"/>
    <w:rsid w:val="002068AB"/>
    <w:rsid w:val="002108D5"/>
    <w:rsid w:val="00221ADC"/>
    <w:rsid w:val="00363ED1"/>
    <w:rsid w:val="00364E4A"/>
    <w:rsid w:val="003C7A51"/>
    <w:rsid w:val="003F742D"/>
    <w:rsid w:val="00417D29"/>
    <w:rsid w:val="00434834"/>
    <w:rsid w:val="005978F0"/>
    <w:rsid w:val="005C6D52"/>
    <w:rsid w:val="006403BC"/>
    <w:rsid w:val="006A5EAA"/>
    <w:rsid w:val="00797CA4"/>
    <w:rsid w:val="007B1351"/>
    <w:rsid w:val="00835F30"/>
    <w:rsid w:val="008C09B3"/>
    <w:rsid w:val="00963E47"/>
    <w:rsid w:val="009729A2"/>
    <w:rsid w:val="00990454"/>
    <w:rsid w:val="00A85044"/>
    <w:rsid w:val="00B00BF4"/>
    <w:rsid w:val="00C00D6A"/>
    <w:rsid w:val="00C22E02"/>
    <w:rsid w:val="00CB35E0"/>
    <w:rsid w:val="00CE13BF"/>
    <w:rsid w:val="00CF6F7D"/>
    <w:rsid w:val="00D546F7"/>
    <w:rsid w:val="00E5656B"/>
    <w:rsid w:val="00EB0F79"/>
    <w:rsid w:val="00F30C48"/>
    <w:rsid w:val="00FE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E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64E4A"/>
    <w:pPr>
      <w:spacing w:after="0" w:line="240" w:lineRule="auto"/>
    </w:pPr>
    <w:rPr>
      <w:rFonts w:ascii="Arial" w:eastAsia="Times New Roman" w:hAnsi="Arial"/>
      <w:b/>
      <w:sz w:val="23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364E4A"/>
    <w:rPr>
      <w:rFonts w:ascii="Arial" w:hAnsi="Arial"/>
      <w:b/>
      <w:sz w:val="23"/>
      <w:lang w:val="en-GB" w:eastAsia="en-GB" w:bidi="ar-SA"/>
    </w:rPr>
  </w:style>
  <w:style w:type="paragraph" w:styleId="BalloonText">
    <w:name w:val="Balloon Text"/>
    <w:basedOn w:val="Normal"/>
    <w:link w:val="BalloonTextChar"/>
    <w:rsid w:val="00B0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0BF4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4A32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1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5FC7-79BD-4900-88EA-0D921D4C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ubarnes</dc:creator>
  <cp:keywords/>
  <dc:description/>
  <cp:lastModifiedBy>bpatel</cp:lastModifiedBy>
  <cp:revision>2</cp:revision>
  <dcterms:created xsi:type="dcterms:W3CDTF">2012-09-04T12:44:00Z</dcterms:created>
  <dcterms:modified xsi:type="dcterms:W3CDTF">2012-09-04T12:44:00Z</dcterms:modified>
</cp:coreProperties>
</file>