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077A" w14:textId="3A88907B" w:rsidR="00C82518" w:rsidRDefault="00C82518" w:rsidP="004B7DFC">
      <w:pPr>
        <w:jc w:val="center"/>
        <w:rPr>
          <w:rFonts w:cstheme="minorHAnsi"/>
          <w:b/>
          <w:bCs/>
          <w:sz w:val="36"/>
          <w:szCs w:val="36"/>
        </w:rPr>
      </w:pPr>
      <w:r>
        <w:rPr>
          <w:rFonts w:cstheme="minorHAnsi"/>
          <w:b/>
          <w:bCs/>
          <w:noProof/>
          <w:sz w:val="36"/>
          <w:szCs w:val="36"/>
        </w:rPr>
        <mc:AlternateContent>
          <mc:Choice Requires="wps">
            <w:drawing>
              <wp:anchor distT="0" distB="0" distL="114300" distR="114300" simplePos="0" relativeHeight="251664384" behindDoc="0" locked="0" layoutInCell="1" allowOverlap="1" wp14:anchorId="241B9C1F" wp14:editId="4A16B1C9">
                <wp:simplePos x="0" y="0"/>
                <wp:positionH relativeFrom="column">
                  <wp:posOffset>-269111</wp:posOffset>
                </wp:positionH>
                <wp:positionV relativeFrom="paragraph">
                  <wp:posOffset>-39017</wp:posOffset>
                </wp:positionV>
                <wp:extent cx="9614781" cy="972273"/>
                <wp:effectExtent l="0" t="0" r="24765" b="18415"/>
                <wp:wrapNone/>
                <wp:docPr id="5" name="Text Box 5"/>
                <wp:cNvGraphicFramePr/>
                <a:graphic xmlns:a="http://schemas.openxmlformats.org/drawingml/2006/main">
                  <a:graphicData uri="http://schemas.microsoft.com/office/word/2010/wordprocessingShape">
                    <wps:wsp>
                      <wps:cNvSpPr txBox="1"/>
                      <wps:spPr>
                        <a:xfrm>
                          <a:off x="0" y="0"/>
                          <a:ext cx="9614781" cy="972273"/>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36A0EFF3" w14:textId="6FD8E036" w:rsidR="00C82518" w:rsidRPr="00E94933" w:rsidRDefault="00C82518" w:rsidP="00C82518">
                            <w:pPr>
                              <w:jc w:val="center"/>
                              <w:rPr>
                                <w:sz w:val="28"/>
                                <w:szCs w:val="28"/>
                              </w:rPr>
                            </w:pPr>
                            <w:r w:rsidRPr="00E94933">
                              <w:rPr>
                                <w:sz w:val="28"/>
                                <w:szCs w:val="28"/>
                              </w:rPr>
                              <w:t>Gloucestershire Advisory Teaching Service:   Communication and Interaction Team</w:t>
                            </w:r>
                          </w:p>
                          <w:p w14:paraId="31323EE7" w14:textId="78993CEE" w:rsidR="00291EDD" w:rsidRPr="00E94933" w:rsidRDefault="00291EDD" w:rsidP="00C82518">
                            <w:pPr>
                              <w:jc w:val="center"/>
                              <w:rPr>
                                <w:b/>
                                <w:bCs/>
                                <w:sz w:val="40"/>
                                <w:szCs w:val="40"/>
                              </w:rPr>
                            </w:pPr>
                            <w:r w:rsidRPr="00E94933">
                              <w:rPr>
                                <w:b/>
                                <w:bCs/>
                                <w:sz w:val="32"/>
                                <w:szCs w:val="32"/>
                              </w:rPr>
                              <w:t xml:space="preserve">Inclusive strategies for </w:t>
                            </w:r>
                            <w:r w:rsidR="00E94933" w:rsidRPr="00E94933">
                              <w:rPr>
                                <w:rFonts w:eastAsia="Times New Roman" w:cstheme="minorHAnsi"/>
                                <w:b/>
                                <w:bCs/>
                                <w:sz w:val="32"/>
                                <w:szCs w:val="32"/>
                                <w:lang w:eastAsia="en-GB"/>
                              </w:rPr>
                              <w:t xml:space="preserve">autistic young people and those with social communication and interaction differences </w:t>
                            </w:r>
                            <w:r w:rsidRPr="00E94933">
                              <w:rPr>
                                <w:b/>
                                <w:bCs/>
                                <w:sz w:val="32"/>
                                <w:szCs w:val="32"/>
                              </w:rPr>
                              <w:t>in an educational</w:t>
                            </w:r>
                            <w:r w:rsidRPr="00E94933">
                              <w:rPr>
                                <w:b/>
                                <w:bCs/>
                                <w:sz w:val="40"/>
                                <w:szCs w:val="40"/>
                              </w:rPr>
                              <w:t xml:space="preserve"> </w:t>
                            </w:r>
                            <w:r w:rsidRPr="00E94933">
                              <w:rPr>
                                <w:b/>
                                <w:bCs/>
                                <w:sz w:val="32"/>
                                <w:szCs w:val="32"/>
                              </w:rPr>
                              <w:t>setting</w:t>
                            </w:r>
                          </w:p>
                          <w:p w14:paraId="408D0D5A" w14:textId="77777777" w:rsidR="00291EDD" w:rsidRPr="00C82518" w:rsidRDefault="00291EDD" w:rsidP="00C82518">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1B9C1F" id="_x0000_t202" coordsize="21600,21600" o:spt="202" path="m,l,21600r21600,l21600,xe">
                <v:stroke joinstyle="miter"/>
                <v:path gradientshapeok="t" o:connecttype="rect"/>
              </v:shapetype>
              <v:shape id="Text Box 5" o:spid="_x0000_s1026" type="#_x0000_t202" style="position:absolute;left:0;text-align:left;margin-left:-21.2pt;margin-top:-3.05pt;width:757.05pt;height:76.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" fillcolor="#4472c4 [3204]" strokecolor="white [3201]" strokeweight="1.5pt">
                <v:textbox>
                  <w:txbxContent>
                    <w:p w14:paraId="36A0EFF3" w14:textId="6FD8E036" w:rsidR="00C82518" w:rsidRPr="00E94933" w:rsidRDefault="00C82518" w:rsidP="00C82518">
                      <w:pPr>
                        <w:jc w:val="center"/>
                        <w:rPr>
                          <w:sz w:val="28"/>
                          <w:szCs w:val="28"/>
                        </w:rPr>
                      </w:pPr>
                      <w:r w:rsidRPr="00E94933">
                        <w:rPr>
                          <w:sz w:val="28"/>
                          <w:szCs w:val="28"/>
                        </w:rPr>
                        <w:t>Gloucestershire Advisory Teaching Service:   Communication and Interaction Team</w:t>
                      </w:r>
                    </w:p>
                    <w:p w14:paraId="31323EE7" w14:textId="78993CEE" w:rsidR="00291EDD" w:rsidRPr="00E94933" w:rsidRDefault="00291EDD" w:rsidP="00C82518">
                      <w:pPr>
                        <w:jc w:val="center"/>
                        <w:rPr>
                          <w:b/>
                          <w:bCs/>
                          <w:sz w:val="40"/>
                          <w:szCs w:val="40"/>
                        </w:rPr>
                      </w:pPr>
                      <w:r w:rsidRPr="00E94933">
                        <w:rPr>
                          <w:b/>
                          <w:bCs/>
                          <w:sz w:val="32"/>
                          <w:szCs w:val="32"/>
                        </w:rPr>
                        <w:t xml:space="preserve">Inclusive strategies for </w:t>
                      </w:r>
                      <w:r w:rsidR="00E94933" w:rsidRPr="00E94933">
                        <w:rPr>
                          <w:rFonts w:eastAsia="Times New Roman" w:cstheme="minorHAnsi"/>
                          <w:b/>
                          <w:bCs/>
                          <w:sz w:val="32"/>
                          <w:szCs w:val="32"/>
                          <w:lang w:eastAsia="en-GB"/>
                        </w:rPr>
                        <w:t xml:space="preserve">autistic young people and those with social communication and interaction differences </w:t>
                      </w:r>
                      <w:r w:rsidRPr="00E94933">
                        <w:rPr>
                          <w:b/>
                          <w:bCs/>
                          <w:sz w:val="32"/>
                          <w:szCs w:val="32"/>
                        </w:rPr>
                        <w:t>in an educational</w:t>
                      </w:r>
                      <w:r w:rsidRPr="00E94933">
                        <w:rPr>
                          <w:b/>
                          <w:bCs/>
                          <w:sz w:val="40"/>
                          <w:szCs w:val="40"/>
                        </w:rPr>
                        <w:t xml:space="preserve"> </w:t>
                      </w:r>
                      <w:r w:rsidRPr="00E94933">
                        <w:rPr>
                          <w:b/>
                          <w:bCs/>
                          <w:sz w:val="32"/>
                          <w:szCs w:val="32"/>
                        </w:rPr>
                        <w:t>setting</w:t>
                      </w:r>
                    </w:p>
                    <w:p w14:paraId="408D0D5A" w14:textId="77777777" w:rsidR="00291EDD" w:rsidRPr="00C82518" w:rsidRDefault="00291EDD" w:rsidP="00C82518">
                      <w:pPr>
                        <w:jc w:val="center"/>
                        <w:rPr>
                          <w:sz w:val="36"/>
                          <w:szCs w:val="36"/>
                        </w:rPr>
                      </w:pPr>
                    </w:p>
                  </w:txbxContent>
                </v:textbox>
              </v:shape>
            </w:pict>
          </mc:Fallback>
        </mc:AlternateContent>
      </w:r>
    </w:p>
    <w:p w14:paraId="7FF17DA8" w14:textId="77777777" w:rsidR="00291EDD" w:rsidRDefault="00291EDD" w:rsidP="00C75A05">
      <w:pPr>
        <w:spacing w:line="240" w:lineRule="auto"/>
        <w:rPr>
          <w:rFonts w:eastAsia="Calibri" w:cstheme="minorHAnsi"/>
          <w:sz w:val="24"/>
          <w:szCs w:val="24"/>
        </w:rPr>
      </w:pPr>
    </w:p>
    <w:p w14:paraId="55DE2E65" w14:textId="77777777" w:rsidR="00BC586C" w:rsidRDefault="00BC586C" w:rsidP="00C75A05">
      <w:pPr>
        <w:spacing w:line="240" w:lineRule="auto"/>
        <w:rPr>
          <w:rFonts w:eastAsia="Calibri" w:cstheme="minorHAnsi"/>
          <w:sz w:val="24"/>
          <w:szCs w:val="24"/>
        </w:rPr>
      </w:pPr>
    </w:p>
    <w:p w14:paraId="68059BDD" w14:textId="5C034352" w:rsidR="009410A6" w:rsidRPr="008742FA" w:rsidRDefault="00C71B99" w:rsidP="00C75A05">
      <w:pPr>
        <w:spacing w:line="240" w:lineRule="auto"/>
        <w:rPr>
          <w:rFonts w:cstheme="minorHAnsi"/>
          <w:sz w:val="24"/>
          <w:szCs w:val="24"/>
        </w:rPr>
      </w:pPr>
      <w:r>
        <w:rPr>
          <w:noProof/>
          <w:sz w:val="20"/>
          <w:szCs w:val="20"/>
        </w:rPr>
        <w:drawing>
          <wp:anchor distT="0" distB="0" distL="114300" distR="114300" simplePos="0" relativeHeight="251663360" behindDoc="0" locked="0" layoutInCell="1" allowOverlap="1" wp14:anchorId="47E1BDF1" wp14:editId="6B8795D2">
            <wp:simplePos x="0" y="0"/>
            <wp:positionH relativeFrom="margin">
              <wp:posOffset>8331451</wp:posOffset>
            </wp:positionH>
            <wp:positionV relativeFrom="paragraph">
              <wp:posOffset>240168</wp:posOffset>
            </wp:positionV>
            <wp:extent cx="1023042" cy="1363836"/>
            <wp:effectExtent l="0" t="0" r="5715" b="825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6087" cy="1367895"/>
                    </a:xfrm>
                    <a:prstGeom prst="rect">
                      <a:avLst/>
                    </a:prstGeom>
                  </pic:spPr>
                </pic:pic>
              </a:graphicData>
            </a:graphic>
            <wp14:sizeRelH relativeFrom="page">
              <wp14:pctWidth>0</wp14:pctWidth>
            </wp14:sizeRelH>
            <wp14:sizeRelV relativeFrom="page">
              <wp14:pctHeight>0</wp14:pctHeight>
            </wp14:sizeRelV>
          </wp:anchor>
        </w:drawing>
      </w:r>
      <w:r w:rsidR="0052460B" w:rsidRPr="008742FA">
        <w:rPr>
          <w:rFonts w:eastAsia="Calibri" w:cstheme="minorHAnsi"/>
          <w:sz w:val="24"/>
          <w:szCs w:val="24"/>
        </w:rPr>
        <w:t xml:space="preserve">This practical guide adopts the </w:t>
      </w:r>
      <w:r w:rsidR="00857082">
        <w:rPr>
          <w:rFonts w:eastAsia="Calibri" w:cstheme="minorHAnsi"/>
          <w:sz w:val="24"/>
          <w:szCs w:val="24"/>
        </w:rPr>
        <w:t>Neuroinclusive Education Network</w:t>
      </w:r>
      <w:r w:rsidR="0052460B" w:rsidRPr="008742FA">
        <w:rPr>
          <w:rFonts w:eastAsia="Calibri" w:cstheme="minorHAnsi"/>
          <w:sz w:val="24"/>
          <w:szCs w:val="24"/>
        </w:rPr>
        <w:t xml:space="preserve"> (</w:t>
      </w:r>
      <w:r w:rsidR="00857082">
        <w:rPr>
          <w:rFonts w:eastAsia="Calibri" w:cstheme="minorHAnsi"/>
          <w:sz w:val="24"/>
          <w:szCs w:val="24"/>
        </w:rPr>
        <w:t>NEN</w:t>
      </w:r>
      <w:r w:rsidR="0052460B" w:rsidRPr="008742FA">
        <w:rPr>
          <w:rFonts w:eastAsia="Calibri" w:cstheme="minorHAnsi"/>
          <w:sz w:val="24"/>
          <w:szCs w:val="24"/>
        </w:rPr>
        <w:t xml:space="preserve">) approach and links to the </w:t>
      </w:r>
      <w:r w:rsidR="00857082">
        <w:rPr>
          <w:rFonts w:eastAsia="Calibri" w:cstheme="minorHAnsi"/>
          <w:sz w:val="24"/>
          <w:szCs w:val="24"/>
        </w:rPr>
        <w:t xml:space="preserve">NEN </w:t>
      </w:r>
      <w:r w:rsidR="0052460B" w:rsidRPr="008742FA">
        <w:rPr>
          <w:rFonts w:eastAsia="Calibri" w:cstheme="minorHAnsi"/>
          <w:sz w:val="24"/>
          <w:szCs w:val="24"/>
        </w:rPr>
        <w:t>Schools Standards Framework</w:t>
      </w:r>
      <w:r w:rsidR="009410A6" w:rsidRPr="008742FA">
        <w:rPr>
          <w:rFonts w:eastAsia="Calibri" w:cstheme="minorHAnsi"/>
          <w:sz w:val="24"/>
          <w:szCs w:val="24"/>
        </w:rPr>
        <w:t>.</w:t>
      </w:r>
      <w:r w:rsidR="00B72652">
        <w:rPr>
          <w:rFonts w:eastAsia="Calibri" w:cstheme="minorHAnsi"/>
          <w:sz w:val="24"/>
          <w:szCs w:val="24"/>
        </w:rPr>
        <w:t xml:space="preserve"> </w:t>
      </w:r>
    </w:p>
    <w:p w14:paraId="43F3573A" w14:textId="545A6F1E" w:rsidR="007449E9" w:rsidRDefault="0052460B" w:rsidP="00C75A05">
      <w:pPr>
        <w:spacing w:line="240" w:lineRule="auto"/>
        <w:rPr>
          <w:rFonts w:eastAsia="Calibri" w:cstheme="minorHAnsi"/>
          <w:sz w:val="24"/>
          <w:szCs w:val="24"/>
        </w:rPr>
      </w:pPr>
      <w:r w:rsidRPr="008742FA">
        <w:rPr>
          <w:rFonts w:eastAsia="Calibri" w:cstheme="minorHAnsi"/>
          <w:sz w:val="24"/>
          <w:szCs w:val="24"/>
        </w:rPr>
        <w:t xml:space="preserve">This approach is based on autism as a difference and not a </w:t>
      </w:r>
      <w:r w:rsidR="004B7DFC" w:rsidRPr="008742FA">
        <w:rPr>
          <w:rFonts w:eastAsia="Calibri" w:cstheme="minorHAnsi"/>
          <w:sz w:val="24"/>
          <w:szCs w:val="24"/>
        </w:rPr>
        <w:t>deficit, a different way of thinking.</w:t>
      </w:r>
      <w:r w:rsidRPr="008742FA">
        <w:rPr>
          <w:rFonts w:eastAsia="Calibri" w:cstheme="minorHAnsi"/>
          <w:sz w:val="24"/>
          <w:szCs w:val="24"/>
        </w:rPr>
        <w:t xml:space="preserve"> </w:t>
      </w:r>
      <w:r w:rsidR="00B72652">
        <w:rPr>
          <w:rFonts w:eastAsia="Calibri" w:cstheme="minorHAnsi"/>
          <w:sz w:val="24"/>
          <w:szCs w:val="24"/>
        </w:rPr>
        <w:t xml:space="preserve"> </w:t>
      </w:r>
    </w:p>
    <w:p w14:paraId="6BA05859" w14:textId="4037C983" w:rsidR="0052460B" w:rsidRPr="008742FA" w:rsidRDefault="00B72652" w:rsidP="00C75A05">
      <w:pPr>
        <w:spacing w:line="240" w:lineRule="auto"/>
        <w:rPr>
          <w:rFonts w:eastAsia="Calibri" w:cstheme="minorHAnsi"/>
          <w:sz w:val="24"/>
          <w:szCs w:val="24"/>
        </w:rPr>
      </w:pPr>
      <w:r>
        <w:rPr>
          <w:rFonts w:eastAsia="Calibri" w:cstheme="minorHAnsi"/>
          <w:sz w:val="24"/>
          <w:szCs w:val="24"/>
        </w:rPr>
        <w:t>This guidance applies to those with a diagnosis and those identified with possible social communication and interaction differences.</w:t>
      </w:r>
    </w:p>
    <w:p w14:paraId="4FADA77D" w14:textId="79BF685B" w:rsidR="0052460B" w:rsidRPr="0052460B" w:rsidRDefault="00D76AFB" w:rsidP="00C75A05">
      <w:pPr>
        <w:spacing w:line="240" w:lineRule="auto"/>
        <w:rPr>
          <w:rFonts w:eastAsia="Calibri" w:cstheme="minorHAnsi"/>
          <w:sz w:val="24"/>
          <w:szCs w:val="24"/>
        </w:rPr>
      </w:pPr>
      <w:r w:rsidRPr="008742FA">
        <w:rPr>
          <w:rFonts w:eastAsia="Calibri" w:cstheme="minorHAnsi"/>
          <w:sz w:val="24"/>
          <w:szCs w:val="24"/>
        </w:rPr>
        <w:t xml:space="preserve">The </w:t>
      </w:r>
      <w:r w:rsidR="00857082">
        <w:rPr>
          <w:rFonts w:eastAsia="Calibri" w:cstheme="minorHAnsi"/>
          <w:sz w:val="24"/>
          <w:szCs w:val="24"/>
        </w:rPr>
        <w:t>NEN</w:t>
      </w:r>
      <w:r w:rsidRPr="008742FA">
        <w:rPr>
          <w:rFonts w:eastAsia="Calibri" w:cstheme="minorHAnsi"/>
          <w:sz w:val="24"/>
          <w:szCs w:val="24"/>
        </w:rPr>
        <w:t xml:space="preserve"> model explains that </w:t>
      </w:r>
      <w:r w:rsidRPr="008742FA">
        <w:rPr>
          <w:rFonts w:eastAsia="Times New Roman" w:cstheme="minorHAnsi"/>
          <w:sz w:val="24"/>
          <w:szCs w:val="24"/>
          <w:lang w:eastAsia="en-GB"/>
        </w:rPr>
        <w:t>a</w:t>
      </w:r>
      <w:r w:rsidR="0052460B" w:rsidRPr="0052460B">
        <w:rPr>
          <w:rFonts w:eastAsia="Times New Roman" w:cstheme="minorHAnsi"/>
          <w:sz w:val="24"/>
          <w:szCs w:val="24"/>
          <w:lang w:eastAsia="en-GB"/>
        </w:rPr>
        <w:t>utistic people will experience differences in three key areas</w:t>
      </w:r>
      <w:r w:rsidR="004B7DFC" w:rsidRPr="008742FA">
        <w:rPr>
          <w:rFonts w:eastAsia="Times New Roman" w:cstheme="minorHAnsi"/>
          <w:sz w:val="24"/>
          <w:szCs w:val="24"/>
          <w:lang w:eastAsia="en-GB"/>
        </w:rPr>
        <w:t>:</w:t>
      </w:r>
    </w:p>
    <w:p w14:paraId="68A7BE66" w14:textId="488C12AE" w:rsidR="00D76AFB" w:rsidRPr="008742FA" w:rsidRDefault="0052460B" w:rsidP="00C75A05">
      <w:pPr>
        <w:numPr>
          <w:ilvl w:val="0"/>
          <w:numId w:val="24"/>
        </w:numPr>
        <w:shd w:val="clear" w:color="auto" w:fill="FFFFFF"/>
        <w:spacing w:before="100" w:beforeAutospacing="1" w:after="100" w:afterAutospacing="1" w:line="240" w:lineRule="auto"/>
        <w:rPr>
          <w:rFonts w:eastAsia="Times New Roman" w:cstheme="minorHAnsi"/>
          <w:sz w:val="24"/>
          <w:szCs w:val="24"/>
          <w:lang w:eastAsia="en-GB"/>
        </w:rPr>
      </w:pPr>
      <w:r w:rsidRPr="0052460B">
        <w:rPr>
          <w:rFonts w:eastAsia="Times New Roman" w:cstheme="minorHAnsi"/>
          <w:sz w:val="24"/>
          <w:szCs w:val="24"/>
          <w:lang w:eastAsia="en-GB"/>
        </w:rPr>
        <w:t>Social Understanding and Communication </w:t>
      </w:r>
    </w:p>
    <w:p w14:paraId="761E4075" w14:textId="2699DDC4" w:rsidR="0052460B" w:rsidRPr="008742FA" w:rsidRDefault="0052460B" w:rsidP="00C75A05">
      <w:pPr>
        <w:numPr>
          <w:ilvl w:val="0"/>
          <w:numId w:val="24"/>
        </w:numPr>
        <w:shd w:val="clear" w:color="auto" w:fill="FFFFFF"/>
        <w:spacing w:before="100" w:beforeAutospacing="1" w:after="100" w:afterAutospacing="1" w:line="240" w:lineRule="auto"/>
        <w:rPr>
          <w:rFonts w:eastAsia="Times New Roman" w:cstheme="minorHAnsi"/>
          <w:sz w:val="24"/>
          <w:szCs w:val="24"/>
          <w:lang w:eastAsia="en-GB"/>
        </w:rPr>
      </w:pPr>
      <w:r w:rsidRPr="0052460B">
        <w:rPr>
          <w:rFonts w:eastAsia="Times New Roman" w:cstheme="minorHAnsi"/>
          <w:sz w:val="24"/>
          <w:szCs w:val="24"/>
          <w:lang w:eastAsia="en-GB"/>
        </w:rPr>
        <w:t>Flexible Thinking, Information Processing and Understanding </w:t>
      </w:r>
    </w:p>
    <w:p w14:paraId="14B8B496" w14:textId="5B864CE5" w:rsidR="009410A6" w:rsidRPr="0052460B" w:rsidRDefault="009410A6" w:rsidP="00C75A05">
      <w:pPr>
        <w:numPr>
          <w:ilvl w:val="0"/>
          <w:numId w:val="24"/>
        </w:numPr>
        <w:shd w:val="clear" w:color="auto" w:fill="FFFFFF"/>
        <w:spacing w:before="100" w:beforeAutospacing="1" w:after="100" w:afterAutospacing="1" w:line="240" w:lineRule="auto"/>
        <w:rPr>
          <w:rFonts w:eastAsia="Times New Roman" w:cstheme="minorHAnsi"/>
          <w:sz w:val="24"/>
          <w:szCs w:val="24"/>
          <w:lang w:eastAsia="en-GB"/>
        </w:rPr>
      </w:pPr>
      <w:r w:rsidRPr="0052460B">
        <w:rPr>
          <w:rFonts w:eastAsia="Times New Roman" w:cstheme="minorHAnsi"/>
          <w:sz w:val="24"/>
          <w:szCs w:val="24"/>
          <w:lang w:eastAsia="en-GB"/>
        </w:rPr>
        <w:t>Sensory Processing and Integration</w:t>
      </w:r>
    </w:p>
    <w:p w14:paraId="6869CB30" w14:textId="51ED4530" w:rsidR="00D76AFB" w:rsidRPr="008742FA" w:rsidRDefault="00D76AFB" w:rsidP="00C75A05">
      <w:pPr>
        <w:spacing w:line="240" w:lineRule="auto"/>
        <w:rPr>
          <w:rFonts w:cstheme="minorHAnsi"/>
          <w:sz w:val="24"/>
          <w:szCs w:val="24"/>
        </w:rPr>
      </w:pPr>
      <w:r w:rsidRPr="008742FA">
        <w:rPr>
          <w:rFonts w:cstheme="minorHAnsi"/>
          <w:sz w:val="24"/>
          <w:szCs w:val="24"/>
        </w:rPr>
        <w:t>Each autistic person will have their own unique profile within the key areas of difference.</w:t>
      </w:r>
      <w:r w:rsidR="009410A6" w:rsidRPr="008742FA">
        <w:rPr>
          <w:rFonts w:cstheme="minorHAnsi"/>
          <w:sz w:val="24"/>
          <w:szCs w:val="24"/>
        </w:rPr>
        <w:t xml:space="preserve">  The key areas of difference influence the way autistic pupils learn and experience their educational settings. </w:t>
      </w:r>
    </w:p>
    <w:p w14:paraId="2D6B93D1" w14:textId="1DDEA79F" w:rsidR="009410A6" w:rsidRPr="008742FA" w:rsidRDefault="009410A6" w:rsidP="00C75A05">
      <w:pPr>
        <w:spacing w:line="240" w:lineRule="auto"/>
        <w:rPr>
          <w:rFonts w:eastAsia="Calibri" w:cstheme="minorHAnsi"/>
          <w:sz w:val="24"/>
          <w:szCs w:val="24"/>
        </w:rPr>
      </w:pPr>
      <w:r w:rsidRPr="008742FA">
        <w:rPr>
          <w:rFonts w:eastAsia="Times New Roman" w:cstheme="minorHAnsi"/>
          <w:sz w:val="24"/>
          <w:szCs w:val="24"/>
          <w:lang w:eastAsia="en-GB"/>
        </w:rPr>
        <w:t xml:space="preserve">The </w:t>
      </w:r>
      <w:r w:rsidR="00857082">
        <w:rPr>
          <w:rFonts w:eastAsia="Times New Roman" w:cstheme="minorHAnsi"/>
          <w:sz w:val="24"/>
          <w:szCs w:val="24"/>
          <w:lang w:eastAsia="en-GB"/>
        </w:rPr>
        <w:t xml:space="preserve">NEN </w:t>
      </w:r>
      <w:r w:rsidRPr="008742FA">
        <w:rPr>
          <w:rFonts w:eastAsia="Times New Roman" w:cstheme="minorHAnsi"/>
          <w:sz w:val="24"/>
          <w:szCs w:val="24"/>
          <w:lang w:eastAsia="en-GB"/>
        </w:rPr>
        <w:t xml:space="preserve">Schools Standards Framework is </w:t>
      </w:r>
      <w:r w:rsidRPr="008742FA">
        <w:rPr>
          <w:rFonts w:eastAsia="Calibri" w:cstheme="minorHAnsi"/>
          <w:sz w:val="24"/>
          <w:szCs w:val="24"/>
        </w:rPr>
        <w:t>a tool to enhance and embed good autism practice across a school and is split into four themes.</w:t>
      </w:r>
      <w:r w:rsidR="004B7DFC" w:rsidRPr="008742FA">
        <w:rPr>
          <w:rFonts w:eastAsia="Calibri" w:cstheme="minorHAnsi"/>
          <w:sz w:val="24"/>
          <w:szCs w:val="24"/>
        </w:rPr>
        <w:t xml:space="preserve">  These themes </w:t>
      </w:r>
      <w:r w:rsidR="00C75A05">
        <w:rPr>
          <w:rFonts w:eastAsia="Calibri" w:cstheme="minorHAnsi"/>
          <w:sz w:val="24"/>
          <w:szCs w:val="24"/>
        </w:rPr>
        <w:t>link to the universal provision we ask you to consider below.</w:t>
      </w:r>
    </w:p>
    <w:p w14:paraId="24E4F31F" w14:textId="05E9D59C" w:rsidR="009410A6" w:rsidRPr="00C75A05" w:rsidRDefault="00C75A05" w:rsidP="00C75A05">
      <w:pPr>
        <w:rPr>
          <w:rFonts w:cstheme="minorHAnsi"/>
          <w:color w:val="2F5496" w:themeColor="accent1" w:themeShade="BF"/>
          <w:sz w:val="24"/>
          <w:szCs w:val="24"/>
        </w:rPr>
      </w:pPr>
      <w:r w:rsidRPr="00652439">
        <w:rPr>
          <w:b/>
          <w:bCs/>
          <w:color w:val="4472C4" w:themeColor="accent1"/>
        </w:rPr>
        <w:sym w:font="Wingdings" w:char="F0FC"/>
      </w:r>
      <w:r w:rsidRPr="00C75A05">
        <w:rPr>
          <w:b/>
          <w:bCs/>
          <w:color w:val="4472C4" w:themeColor="accent1"/>
        </w:rPr>
        <w:t xml:space="preserve"> </w:t>
      </w:r>
      <w:r w:rsidR="009410A6" w:rsidRPr="00C75A05">
        <w:rPr>
          <w:rFonts w:cstheme="minorHAnsi"/>
          <w:color w:val="2F5496" w:themeColor="accent1" w:themeShade="BF"/>
          <w:sz w:val="24"/>
          <w:szCs w:val="24"/>
        </w:rPr>
        <w:t>Understanding the Individual</w:t>
      </w:r>
      <w:r w:rsidRPr="00C75A05">
        <w:rPr>
          <w:rFonts w:cstheme="minorHAnsi"/>
          <w:color w:val="2F5496" w:themeColor="accent1" w:themeShade="BF"/>
          <w:sz w:val="24"/>
          <w:szCs w:val="24"/>
        </w:rPr>
        <w:t xml:space="preserve"> </w:t>
      </w:r>
    </w:p>
    <w:p w14:paraId="37A9904E" w14:textId="4537A867" w:rsidR="009410A6" w:rsidRPr="00C75A05" w:rsidRDefault="00C75A05" w:rsidP="00C75A05">
      <w:pPr>
        <w:rPr>
          <w:rFonts w:cstheme="minorHAnsi"/>
          <w:color w:val="7030A0"/>
          <w:sz w:val="24"/>
          <w:szCs w:val="24"/>
        </w:rPr>
      </w:pPr>
      <w:r w:rsidRPr="00C75A05">
        <w:rPr>
          <w:b/>
          <w:bCs/>
          <w:color w:val="7030A0"/>
        </w:rPr>
        <w:sym w:font="Wingdings" w:char="F0FC"/>
      </w:r>
      <w:r>
        <w:rPr>
          <w:b/>
          <w:bCs/>
          <w:color w:val="4472C4" w:themeColor="accent1"/>
        </w:rPr>
        <w:t xml:space="preserve"> </w:t>
      </w:r>
      <w:r w:rsidR="009410A6" w:rsidRPr="00C75A05">
        <w:rPr>
          <w:rFonts w:cstheme="minorHAnsi"/>
          <w:color w:val="7030A0"/>
          <w:sz w:val="24"/>
          <w:szCs w:val="24"/>
        </w:rPr>
        <w:t>Positive and Effective Relationships</w:t>
      </w:r>
    </w:p>
    <w:p w14:paraId="4B3E6318" w14:textId="19EB34E5" w:rsidR="004B7DFC" w:rsidRPr="00C75A05" w:rsidRDefault="00C75A05" w:rsidP="00C75A05">
      <w:pPr>
        <w:rPr>
          <w:rFonts w:cstheme="minorHAnsi"/>
          <w:color w:val="ED7D31" w:themeColor="accent2"/>
          <w:sz w:val="24"/>
          <w:szCs w:val="24"/>
        </w:rPr>
      </w:pPr>
      <w:r w:rsidRPr="00C75A05">
        <w:rPr>
          <w:b/>
          <w:bCs/>
          <w:color w:val="ED7D31" w:themeColor="accent2"/>
        </w:rPr>
        <w:sym w:font="Wingdings" w:char="F0FC"/>
      </w:r>
      <w:r>
        <w:rPr>
          <w:rFonts w:cstheme="minorHAnsi"/>
          <w:color w:val="ED7D31" w:themeColor="accent2"/>
          <w:sz w:val="24"/>
          <w:szCs w:val="24"/>
        </w:rPr>
        <w:t xml:space="preserve"> </w:t>
      </w:r>
      <w:r w:rsidR="004B7DFC" w:rsidRPr="00C75A05">
        <w:rPr>
          <w:rFonts w:cstheme="minorHAnsi"/>
          <w:color w:val="ED7D31" w:themeColor="accent2"/>
          <w:sz w:val="24"/>
          <w:szCs w:val="24"/>
        </w:rPr>
        <w:t>Enabling Environments</w:t>
      </w:r>
      <w:r w:rsidRPr="00C75A05">
        <w:rPr>
          <w:rFonts w:cstheme="minorHAnsi"/>
          <w:color w:val="ED7D31" w:themeColor="accent2"/>
          <w:sz w:val="24"/>
          <w:szCs w:val="24"/>
        </w:rPr>
        <w:t xml:space="preserve"> </w:t>
      </w:r>
    </w:p>
    <w:p w14:paraId="75B72241" w14:textId="4E9C26C3" w:rsidR="004B7DFC" w:rsidRPr="00C75A05" w:rsidRDefault="00C75A05" w:rsidP="00C75A05">
      <w:pPr>
        <w:rPr>
          <w:rFonts w:cstheme="minorHAnsi"/>
          <w:color w:val="FF0000"/>
          <w:sz w:val="24"/>
          <w:szCs w:val="24"/>
        </w:rPr>
      </w:pPr>
      <w:r w:rsidRPr="00C75A05">
        <w:rPr>
          <w:b/>
          <w:bCs/>
          <w:color w:val="FF0000"/>
        </w:rPr>
        <w:sym w:font="Wingdings" w:char="F0FC"/>
      </w:r>
      <w:r>
        <w:rPr>
          <w:rFonts w:cstheme="minorHAnsi"/>
          <w:color w:val="FF0000"/>
          <w:sz w:val="24"/>
          <w:szCs w:val="24"/>
        </w:rPr>
        <w:t xml:space="preserve"> </w:t>
      </w:r>
      <w:r w:rsidR="004B7DFC" w:rsidRPr="00C75A05">
        <w:rPr>
          <w:rFonts w:cstheme="minorHAnsi"/>
          <w:color w:val="FF0000"/>
          <w:sz w:val="24"/>
          <w:szCs w:val="24"/>
        </w:rPr>
        <w:t>Learning and Development</w:t>
      </w:r>
    </w:p>
    <w:p w14:paraId="7F62EE29" w14:textId="77777777" w:rsidR="00152329" w:rsidRDefault="00212803" w:rsidP="00152329">
      <w:pPr>
        <w:shd w:val="clear" w:color="auto" w:fill="FFFFFF"/>
        <w:spacing w:after="450" w:line="240" w:lineRule="auto"/>
        <w:rPr>
          <w:rFonts w:eastAsia="Times New Roman" w:cstheme="minorHAnsi"/>
          <w:b/>
          <w:bCs/>
          <w:sz w:val="24"/>
          <w:szCs w:val="24"/>
          <w:lang w:eastAsia="en-GB"/>
        </w:rPr>
      </w:pPr>
      <w:r w:rsidRPr="008742FA">
        <w:rPr>
          <w:rFonts w:eastAsia="Times New Roman" w:cstheme="minorHAnsi"/>
          <w:b/>
          <w:bCs/>
          <w:sz w:val="24"/>
          <w:szCs w:val="24"/>
          <w:lang w:eastAsia="en-GB"/>
        </w:rPr>
        <w:t xml:space="preserve">The Communication and Interaction Team </w:t>
      </w:r>
      <w:r w:rsidR="00DB4EFF" w:rsidRPr="008742FA">
        <w:rPr>
          <w:rFonts w:eastAsia="Times New Roman" w:cstheme="minorHAnsi"/>
          <w:b/>
          <w:bCs/>
          <w:sz w:val="24"/>
          <w:szCs w:val="24"/>
          <w:lang w:eastAsia="en-GB"/>
        </w:rPr>
        <w:t xml:space="preserve">encourages </w:t>
      </w:r>
      <w:r w:rsidRPr="008742FA">
        <w:rPr>
          <w:rFonts w:eastAsia="Times New Roman" w:cstheme="minorHAnsi"/>
          <w:b/>
          <w:bCs/>
          <w:sz w:val="24"/>
          <w:szCs w:val="24"/>
          <w:lang w:eastAsia="en-GB"/>
        </w:rPr>
        <w:t>you to use this guide</w:t>
      </w:r>
      <w:r w:rsidR="00C75A05">
        <w:rPr>
          <w:rFonts w:eastAsia="Times New Roman" w:cstheme="minorHAnsi"/>
          <w:b/>
          <w:bCs/>
          <w:sz w:val="24"/>
          <w:szCs w:val="24"/>
          <w:lang w:eastAsia="en-GB"/>
        </w:rPr>
        <w:t xml:space="preserve"> to support autistic young people and those with social communication and interaction differences by:</w:t>
      </w:r>
    </w:p>
    <w:p w14:paraId="370942A8" w14:textId="1E9619A7" w:rsidR="00271C2A" w:rsidRPr="00152329" w:rsidRDefault="00271C2A" w:rsidP="00152329">
      <w:pPr>
        <w:pStyle w:val="ListParagraph"/>
        <w:numPr>
          <w:ilvl w:val="0"/>
          <w:numId w:val="31"/>
        </w:numPr>
        <w:shd w:val="clear" w:color="auto" w:fill="FFFFFF"/>
        <w:spacing w:after="450" w:line="240" w:lineRule="auto"/>
        <w:rPr>
          <w:rFonts w:eastAsia="Times New Roman" w:cstheme="minorHAnsi"/>
          <w:b/>
          <w:bCs/>
          <w:sz w:val="24"/>
          <w:szCs w:val="24"/>
          <w:lang w:eastAsia="en-GB"/>
        </w:rPr>
      </w:pPr>
      <w:r w:rsidRPr="00152329">
        <w:rPr>
          <w:rFonts w:eastAsia="Times New Roman" w:cstheme="minorHAnsi"/>
          <w:sz w:val="24"/>
          <w:szCs w:val="24"/>
          <w:lang w:eastAsia="en-GB"/>
        </w:rPr>
        <w:t>R</w:t>
      </w:r>
      <w:r w:rsidR="008742FA" w:rsidRPr="00152329">
        <w:rPr>
          <w:rFonts w:eastAsia="Times New Roman" w:cstheme="minorHAnsi"/>
          <w:sz w:val="24"/>
          <w:szCs w:val="24"/>
          <w:lang w:eastAsia="en-GB"/>
        </w:rPr>
        <w:t>eflect</w:t>
      </w:r>
      <w:r w:rsidRPr="00152329">
        <w:rPr>
          <w:rFonts w:eastAsia="Times New Roman" w:cstheme="minorHAnsi"/>
          <w:sz w:val="24"/>
          <w:szCs w:val="24"/>
          <w:lang w:eastAsia="en-GB"/>
        </w:rPr>
        <w:t>ing</w:t>
      </w:r>
      <w:r w:rsidR="008742FA" w:rsidRPr="00152329">
        <w:rPr>
          <w:rFonts w:eastAsia="Times New Roman" w:cstheme="minorHAnsi"/>
          <w:sz w:val="24"/>
          <w:szCs w:val="24"/>
          <w:lang w:eastAsia="en-GB"/>
        </w:rPr>
        <w:t xml:space="preserve"> on </w:t>
      </w:r>
      <w:r w:rsidR="00212803" w:rsidRPr="00152329">
        <w:rPr>
          <w:rFonts w:eastAsia="Times New Roman" w:cstheme="minorHAnsi"/>
          <w:sz w:val="24"/>
          <w:szCs w:val="24"/>
          <w:lang w:eastAsia="en-GB"/>
        </w:rPr>
        <w:t>your current practice</w:t>
      </w:r>
      <w:r w:rsidRPr="00152329">
        <w:rPr>
          <w:rFonts w:eastAsia="Times New Roman" w:cstheme="minorHAnsi"/>
          <w:sz w:val="24"/>
          <w:szCs w:val="24"/>
          <w:lang w:eastAsia="en-GB"/>
        </w:rPr>
        <w:t xml:space="preserve"> before making a referral</w:t>
      </w:r>
      <w:r w:rsidR="00212803" w:rsidRPr="00152329">
        <w:rPr>
          <w:rFonts w:eastAsia="Times New Roman" w:cstheme="minorHAnsi"/>
          <w:sz w:val="24"/>
          <w:szCs w:val="24"/>
          <w:lang w:eastAsia="en-GB"/>
        </w:rPr>
        <w:t xml:space="preserve">.  We will need evidence that universal provision has been consistently implemented over time. Please </w:t>
      </w:r>
      <w:r w:rsidR="00821A46" w:rsidRPr="00152329">
        <w:rPr>
          <w:rFonts w:eastAsia="Times New Roman" w:cstheme="minorHAnsi"/>
          <w:sz w:val="24"/>
          <w:szCs w:val="24"/>
          <w:lang w:eastAsia="en-GB"/>
        </w:rPr>
        <w:t>complete</w:t>
      </w:r>
      <w:r w:rsidR="00DB2166" w:rsidRPr="00152329">
        <w:rPr>
          <w:rFonts w:eastAsia="Times New Roman" w:cstheme="minorHAnsi"/>
          <w:sz w:val="24"/>
          <w:szCs w:val="24"/>
          <w:lang w:eastAsia="en-GB"/>
        </w:rPr>
        <w:t xml:space="preserve"> evidence </w:t>
      </w:r>
      <w:r w:rsidR="00821A46" w:rsidRPr="00152329">
        <w:rPr>
          <w:rFonts w:eastAsia="Times New Roman" w:cstheme="minorHAnsi"/>
          <w:sz w:val="24"/>
          <w:szCs w:val="24"/>
          <w:lang w:eastAsia="en-GB"/>
        </w:rPr>
        <w:t xml:space="preserve">of </w:t>
      </w:r>
      <w:r w:rsidR="00DB2166" w:rsidRPr="00152329">
        <w:rPr>
          <w:rFonts w:eastAsia="Times New Roman" w:cstheme="minorHAnsi"/>
          <w:sz w:val="24"/>
          <w:szCs w:val="24"/>
          <w:lang w:eastAsia="en-GB"/>
        </w:rPr>
        <w:t>impact</w:t>
      </w:r>
      <w:r w:rsidR="00212803" w:rsidRPr="00152329">
        <w:rPr>
          <w:rFonts w:eastAsia="Times New Roman" w:cstheme="minorHAnsi"/>
          <w:sz w:val="24"/>
          <w:szCs w:val="24"/>
          <w:lang w:eastAsia="en-GB"/>
        </w:rPr>
        <w:t xml:space="preserve"> and return with you</w:t>
      </w:r>
      <w:r w:rsidR="00065415" w:rsidRPr="00152329">
        <w:rPr>
          <w:rFonts w:eastAsia="Times New Roman" w:cstheme="minorHAnsi"/>
          <w:sz w:val="24"/>
          <w:szCs w:val="24"/>
          <w:lang w:eastAsia="en-GB"/>
        </w:rPr>
        <w:t>r</w:t>
      </w:r>
      <w:r w:rsidR="00212803" w:rsidRPr="00152329">
        <w:rPr>
          <w:rFonts w:eastAsia="Times New Roman" w:cstheme="minorHAnsi"/>
          <w:sz w:val="24"/>
          <w:szCs w:val="24"/>
          <w:lang w:eastAsia="en-GB"/>
        </w:rPr>
        <w:t xml:space="preserve"> referral paperwork.  </w:t>
      </w:r>
    </w:p>
    <w:p w14:paraId="6D00E5EB" w14:textId="189DF68A" w:rsidR="00271C2A" w:rsidRPr="00271C2A" w:rsidRDefault="00271C2A" w:rsidP="00271C2A">
      <w:pPr>
        <w:pStyle w:val="ListParagraph"/>
        <w:numPr>
          <w:ilvl w:val="0"/>
          <w:numId w:val="31"/>
        </w:numPr>
        <w:shd w:val="clear" w:color="auto" w:fill="FFFFFF"/>
        <w:spacing w:after="450" w:line="240" w:lineRule="auto"/>
        <w:rPr>
          <w:rFonts w:eastAsia="Times New Roman" w:cstheme="minorHAnsi"/>
          <w:b/>
          <w:bCs/>
          <w:sz w:val="24"/>
          <w:szCs w:val="24"/>
          <w:lang w:eastAsia="en-GB"/>
        </w:rPr>
      </w:pPr>
      <w:r>
        <w:rPr>
          <w:rFonts w:eastAsia="Times New Roman" w:cstheme="minorHAnsi"/>
          <w:sz w:val="24"/>
          <w:szCs w:val="24"/>
          <w:lang w:eastAsia="en-GB"/>
        </w:rPr>
        <w:t>Adopting</w:t>
      </w:r>
      <w:r w:rsidRPr="00271C2A">
        <w:rPr>
          <w:rFonts w:eastAsia="Times New Roman" w:cstheme="minorHAnsi"/>
          <w:sz w:val="24"/>
          <w:szCs w:val="24"/>
          <w:lang w:eastAsia="en-GB"/>
        </w:rPr>
        <w:t xml:space="preserve"> universal provision as</w:t>
      </w:r>
      <w:r w:rsidR="00212803" w:rsidRPr="00271C2A">
        <w:rPr>
          <w:rFonts w:eastAsia="Times New Roman" w:cstheme="minorHAnsi"/>
          <w:sz w:val="24"/>
          <w:szCs w:val="24"/>
          <w:lang w:eastAsia="en-GB"/>
        </w:rPr>
        <w:t xml:space="preserve"> a consistent whole school approach</w:t>
      </w:r>
      <w:r>
        <w:rPr>
          <w:rFonts w:eastAsia="Times New Roman" w:cstheme="minorHAnsi"/>
          <w:sz w:val="24"/>
          <w:szCs w:val="24"/>
          <w:lang w:eastAsia="en-GB"/>
        </w:rPr>
        <w:t xml:space="preserve"> to meeting the needs of this group of young people.</w:t>
      </w:r>
      <w:r w:rsidR="00212803" w:rsidRPr="00271C2A">
        <w:rPr>
          <w:rFonts w:eastAsia="Times New Roman" w:cstheme="minorHAnsi"/>
          <w:sz w:val="24"/>
          <w:szCs w:val="24"/>
          <w:lang w:eastAsia="en-GB"/>
        </w:rPr>
        <w:t xml:space="preserve"> </w:t>
      </w:r>
    </w:p>
    <w:p w14:paraId="7FE4AFD9" w14:textId="46B1B2BB" w:rsidR="00207E56" w:rsidRDefault="007F7417" w:rsidP="00271C2A">
      <w:pPr>
        <w:shd w:val="clear" w:color="auto" w:fill="FFFFFF"/>
        <w:spacing w:after="450" w:line="240" w:lineRule="auto"/>
        <w:rPr>
          <w:rFonts w:eastAsia="Times New Roman" w:cstheme="minorHAnsi"/>
          <w:b/>
          <w:bCs/>
          <w:sz w:val="24"/>
          <w:szCs w:val="24"/>
          <w:lang w:eastAsia="en-GB"/>
        </w:rPr>
      </w:pPr>
      <w:r>
        <w:rPr>
          <w:rFonts w:cstheme="minorHAnsi"/>
          <w:b/>
          <w:bCs/>
          <w:noProof/>
          <w:sz w:val="36"/>
          <w:szCs w:val="36"/>
        </w:rPr>
        <w:lastRenderedPageBreak/>
        <mc:AlternateContent>
          <mc:Choice Requires="wps">
            <w:drawing>
              <wp:anchor distT="0" distB="0" distL="114300" distR="114300" simplePos="0" relativeHeight="251666432" behindDoc="0" locked="0" layoutInCell="1" allowOverlap="1" wp14:anchorId="274AC029" wp14:editId="66B860F6">
                <wp:simplePos x="0" y="0"/>
                <wp:positionH relativeFrom="margin">
                  <wp:align>left</wp:align>
                </wp:positionH>
                <wp:positionV relativeFrom="paragraph">
                  <wp:posOffset>8299</wp:posOffset>
                </wp:positionV>
                <wp:extent cx="8978900" cy="669956"/>
                <wp:effectExtent l="0" t="0" r="12700" b="15875"/>
                <wp:wrapNone/>
                <wp:docPr id="2" name="Text Box 2"/>
                <wp:cNvGraphicFramePr/>
                <a:graphic xmlns:a="http://schemas.openxmlformats.org/drawingml/2006/main">
                  <a:graphicData uri="http://schemas.microsoft.com/office/word/2010/wordprocessingShape">
                    <wps:wsp>
                      <wps:cNvSpPr txBox="1"/>
                      <wps:spPr>
                        <a:xfrm>
                          <a:off x="0" y="0"/>
                          <a:ext cx="8978900" cy="669956"/>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12FB4D17" w14:textId="77777777" w:rsidR="00207E56" w:rsidRPr="00207E56" w:rsidRDefault="00207E56" w:rsidP="00207E56">
                            <w:pPr>
                              <w:jc w:val="center"/>
                              <w:rPr>
                                <w:sz w:val="24"/>
                                <w:szCs w:val="24"/>
                              </w:rPr>
                            </w:pPr>
                            <w:r w:rsidRPr="00207E56">
                              <w:rPr>
                                <w:sz w:val="24"/>
                                <w:szCs w:val="24"/>
                              </w:rPr>
                              <w:t>Gloucestershire Advisory Teaching Service:   Communication and Interaction Team</w:t>
                            </w:r>
                          </w:p>
                          <w:p w14:paraId="4DC9243A" w14:textId="6AE44E5E" w:rsidR="00207E56" w:rsidRPr="00E96CA8" w:rsidRDefault="00207E56" w:rsidP="00207E56">
                            <w:pPr>
                              <w:jc w:val="center"/>
                              <w:rPr>
                                <w:b/>
                                <w:bCs/>
                                <w:sz w:val="24"/>
                                <w:szCs w:val="24"/>
                              </w:rPr>
                            </w:pPr>
                            <w:r w:rsidRPr="00E96CA8">
                              <w:rPr>
                                <w:b/>
                                <w:bCs/>
                                <w:sz w:val="24"/>
                                <w:szCs w:val="24"/>
                              </w:rPr>
                              <w:t xml:space="preserve">Inclusive strategies for autistic young people </w:t>
                            </w:r>
                            <w:r w:rsidR="00E96CA8" w:rsidRPr="00E96CA8">
                              <w:rPr>
                                <w:b/>
                                <w:bCs/>
                                <w:sz w:val="24"/>
                                <w:szCs w:val="24"/>
                              </w:rPr>
                              <w:t>and those with social</w:t>
                            </w:r>
                            <w:r w:rsidR="00E96CA8">
                              <w:rPr>
                                <w:b/>
                                <w:bCs/>
                                <w:sz w:val="24"/>
                                <w:szCs w:val="24"/>
                              </w:rPr>
                              <w:t xml:space="preserve"> </w:t>
                            </w:r>
                            <w:r w:rsidR="00E96CA8" w:rsidRPr="00E96CA8">
                              <w:rPr>
                                <w:b/>
                                <w:bCs/>
                                <w:sz w:val="24"/>
                                <w:szCs w:val="24"/>
                              </w:rPr>
                              <w:t xml:space="preserve">communication and interaction differences </w:t>
                            </w:r>
                            <w:r w:rsidRPr="00E96CA8">
                              <w:rPr>
                                <w:b/>
                                <w:bCs/>
                                <w:sz w:val="24"/>
                                <w:szCs w:val="24"/>
                              </w:rPr>
                              <w:t>in an educational setting</w:t>
                            </w:r>
                          </w:p>
                          <w:p w14:paraId="387F99BD" w14:textId="77777777" w:rsidR="00207E56" w:rsidRPr="00C82518" w:rsidRDefault="00207E56" w:rsidP="00207E56">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AC029" id="Text Box 2" o:spid="_x0000_s1027" type="#_x0000_t202" style="position:absolute;margin-left:0;margin-top:.65pt;width:707pt;height:52.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" fillcolor="#4472c4 [3204]" strokecolor="white [3201]" strokeweight="1.5pt">
                <v:textbox>
                  <w:txbxContent>
                    <w:p w14:paraId="12FB4D17" w14:textId="77777777" w:rsidR="00207E56" w:rsidRPr="00207E56" w:rsidRDefault="00207E56" w:rsidP="00207E56">
                      <w:pPr>
                        <w:jc w:val="center"/>
                        <w:rPr>
                          <w:sz w:val="24"/>
                          <w:szCs w:val="24"/>
                        </w:rPr>
                      </w:pPr>
                      <w:r w:rsidRPr="00207E56">
                        <w:rPr>
                          <w:sz w:val="24"/>
                          <w:szCs w:val="24"/>
                        </w:rPr>
                        <w:t>Gloucestershire Advisory Teaching Service:   Communication and Interaction Team</w:t>
                      </w:r>
                    </w:p>
                    <w:p w14:paraId="4DC9243A" w14:textId="6AE44E5E" w:rsidR="00207E56" w:rsidRPr="00E96CA8" w:rsidRDefault="00207E56" w:rsidP="00207E56">
                      <w:pPr>
                        <w:jc w:val="center"/>
                        <w:rPr>
                          <w:b/>
                          <w:bCs/>
                          <w:sz w:val="24"/>
                          <w:szCs w:val="24"/>
                        </w:rPr>
                      </w:pPr>
                      <w:r w:rsidRPr="00E96CA8">
                        <w:rPr>
                          <w:b/>
                          <w:bCs/>
                          <w:sz w:val="24"/>
                          <w:szCs w:val="24"/>
                        </w:rPr>
                        <w:t xml:space="preserve">Inclusive strategies for autistic young people </w:t>
                      </w:r>
                      <w:r w:rsidR="00E96CA8" w:rsidRPr="00E96CA8">
                        <w:rPr>
                          <w:b/>
                          <w:bCs/>
                          <w:sz w:val="24"/>
                          <w:szCs w:val="24"/>
                        </w:rPr>
                        <w:t>and those with social</w:t>
                      </w:r>
                      <w:r w:rsidR="00E96CA8">
                        <w:rPr>
                          <w:b/>
                          <w:bCs/>
                          <w:sz w:val="24"/>
                          <w:szCs w:val="24"/>
                        </w:rPr>
                        <w:t xml:space="preserve"> </w:t>
                      </w:r>
                      <w:r w:rsidR="00E96CA8" w:rsidRPr="00E96CA8">
                        <w:rPr>
                          <w:b/>
                          <w:bCs/>
                          <w:sz w:val="24"/>
                          <w:szCs w:val="24"/>
                        </w:rPr>
                        <w:t xml:space="preserve">communication and interaction differences </w:t>
                      </w:r>
                      <w:r w:rsidRPr="00E96CA8">
                        <w:rPr>
                          <w:b/>
                          <w:bCs/>
                          <w:sz w:val="24"/>
                          <w:szCs w:val="24"/>
                        </w:rPr>
                        <w:t>in an educational setting</w:t>
                      </w:r>
                    </w:p>
                    <w:p w14:paraId="387F99BD" w14:textId="77777777" w:rsidR="00207E56" w:rsidRPr="00C82518" w:rsidRDefault="00207E56" w:rsidP="00207E56">
                      <w:pPr>
                        <w:jc w:val="center"/>
                        <w:rPr>
                          <w:sz w:val="36"/>
                          <w:szCs w:val="36"/>
                        </w:rPr>
                      </w:pPr>
                    </w:p>
                  </w:txbxContent>
                </v:textbox>
                <w10:wrap anchorx="margin"/>
              </v:shape>
            </w:pict>
          </mc:Fallback>
        </mc:AlternateContent>
      </w:r>
    </w:p>
    <w:p w14:paraId="2A228DF8" w14:textId="77777777" w:rsidR="007F7417" w:rsidRPr="00271C2A" w:rsidRDefault="007F7417" w:rsidP="00271C2A">
      <w:pPr>
        <w:shd w:val="clear" w:color="auto" w:fill="FFFFFF"/>
        <w:spacing w:after="450" w:line="240" w:lineRule="auto"/>
        <w:rPr>
          <w:rFonts w:eastAsia="Times New Roman" w:cstheme="minorHAnsi"/>
          <w:b/>
          <w:bCs/>
          <w:sz w:val="24"/>
          <w:szCs w:val="24"/>
          <w:lang w:eastAsia="en-GB"/>
        </w:rPr>
      </w:pPr>
    </w:p>
    <w:tbl>
      <w:tblPr>
        <w:tblStyle w:val="TableGrid"/>
        <w:tblW w:w="14170" w:type="dxa"/>
        <w:tblLook w:val="04A0" w:firstRow="1" w:lastRow="0" w:firstColumn="1" w:lastColumn="0" w:noHBand="0" w:noVBand="1"/>
      </w:tblPr>
      <w:tblGrid>
        <w:gridCol w:w="3823"/>
        <w:gridCol w:w="7512"/>
        <w:gridCol w:w="2835"/>
      </w:tblGrid>
      <w:tr w:rsidR="007B37BD" w14:paraId="44E5F3CF" w14:textId="77777777" w:rsidTr="007B37BD">
        <w:trPr>
          <w:trHeight w:val="505"/>
        </w:trPr>
        <w:tc>
          <w:tcPr>
            <w:tcW w:w="14170" w:type="dxa"/>
            <w:gridSpan w:val="3"/>
          </w:tcPr>
          <w:p w14:paraId="08F1F238" w14:textId="1C4917EE" w:rsidR="007B37BD" w:rsidRPr="00957840" w:rsidRDefault="007B37BD" w:rsidP="007B37BD">
            <w:pPr>
              <w:rPr>
                <w:sz w:val="24"/>
                <w:szCs w:val="24"/>
              </w:rPr>
            </w:pPr>
            <w:r w:rsidRPr="00957840">
              <w:rPr>
                <w:b/>
                <w:bCs/>
                <w:sz w:val="24"/>
                <w:szCs w:val="24"/>
              </w:rPr>
              <w:t xml:space="preserve">Before considering a </w:t>
            </w:r>
            <w:r w:rsidR="00DB2166" w:rsidRPr="00957840">
              <w:rPr>
                <w:b/>
                <w:bCs/>
                <w:sz w:val="24"/>
                <w:szCs w:val="24"/>
              </w:rPr>
              <w:t>referral, universal provision needs to be</w:t>
            </w:r>
            <w:r w:rsidR="00792B1F" w:rsidRPr="00957840">
              <w:rPr>
                <w:b/>
                <w:bCs/>
                <w:sz w:val="24"/>
                <w:szCs w:val="24"/>
              </w:rPr>
              <w:t xml:space="preserve"> </w:t>
            </w:r>
            <w:r w:rsidRPr="00957840">
              <w:rPr>
                <w:b/>
                <w:bCs/>
                <w:sz w:val="24"/>
                <w:szCs w:val="24"/>
              </w:rPr>
              <w:t>consistently implemented</w:t>
            </w:r>
            <w:r w:rsidR="00DB2166" w:rsidRPr="00957840">
              <w:rPr>
                <w:b/>
                <w:bCs/>
                <w:sz w:val="24"/>
                <w:szCs w:val="24"/>
              </w:rPr>
              <w:t xml:space="preserve"> </w:t>
            </w:r>
            <w:r w:rsidR="00792B1F" w:rsidRPr="00957840">
              <w:rPr>
                <w:b/>
                <w:bCs/>
                <w:sz w:val="24"/>
                <w:szCs w:val="24"/>
              </w:rPr>
              <w:t>for at least 6 weeks</w:t>
            </w:r>
            <w:r w:rsidRPr="00957840">
              <w:rPr>
                <w:b/>
                <w:bCs/>
                <w:sz w:val="24"/>
                <w:szCs w:val="24"/>
              </w:rPr>
              <w:t xml:space="preserve"> as part of the young person’s provision.</w:t>
            </w:r>
            <w:r w:rsidR="008E3ED2">
              <w:rPr>
                <w:b/>
                <w:bCs/>
                <w:sz w:val="24"/>
                <w:szCs w:val="24"/>
              </w:rPr>
              <w:t xml:space="preserve">  If</w:t>
            </w:r>
            <w:r w:rsidR="008E3ED2" w:rsidRPr="00453AD4">
              <w:rPr>
                <w:b/>
                <w:bCs/>
                <w:sz w:val="24"/>
                <w:szCs w:val="24"/>
              </w:rPr>
              <w:t xml:space="preserve"> a </w:t>
            </w:r>
            <w:r w:rsidR="008E3ED2">
              <w:rPr>
                <w:b/>
                <w:bCs/>
                <w:sz w:val="24"/>
                <w:szCs w:val="24"/>
              </w:rPr>
              <w:t>referral is accepted this document is likely to</w:t>
            </w:r>
            <w:r w:rsidR="008E3ED2" w:rsidRPr="00453AD4">
              <w:rPr>
                <w:b/>
                <w:bCs/>
                <w:sz w:val="24"/>
                <w:szCs w:val="24"/>
              </w:rPr>
              <w:t xml:space="preserve"> be the focus of our initial visit.  Please ensure a paper copy </w:t>
            </w:r>
            <w:r w:rsidR="00BC586C">
              <w:rPr>
                <w:b/>
                <w:bCs/>
                <w:sz w:val="24"/>
                <w:szCs w:val="24"/>
              </w:rPr>
              <w:t>is available.</w:t>
            </w:r>
          </w:p>
        </w:tc>
      </w:tr>
      <w:tr w:rsidR="007B37BD" w14:paraId="1FA09BCD" w14:textId="77777777" w:rsidTr="0095434C">
        <w:trPr>
          <w:trHeight w:val="505"/>
        </w:trPr>
        <w:tc>
          <w:tcPr>
            <w:tcW w:w="3823" w:type="dxa"/>
            <w:shd w:val="clear" w:color="auto" w:fill="B4C6E7" w:themeFill="accent1" w:themeFillTint="66"/>
          </w:tcPr>
          <w:p w14:paraId="323D5AE7" w14:textId="015C2AA7" w:rsidR="007B37BD" w:rsidRPr="00DD5D4E" w:rsidRDefault="00307EA7" w:rsidP="002A6A0F">
            <w:pPr>
              <w:jc w:val="center"/>
              <w:rPr>
                <w:b/>
                <w:bCs/>
              </w:rPr>
            </w:pPr>
            <w:r>
              <w:rPr>
                <w:b/>
                <w:bCs/>
              </w:rPr>
              <w:t>Universal a</w:t>
            </w:r>
            <w:r w:rsidR="007B37BD" w:rsidRPr="002A6A0F">
              <w:rPr>
                <w:b/>
                <w:bCs/>
              </w:rPr>
              <w:t>utism friendly approaches to embed at whole class level</w:t>
            </w:r>
          </w:p>
        </w:tc>
        <w:tc>
          <w:tcPr>
            <w:tcW w:w="7512" w:type="dxa"/>
            <w:shd w:val="clear" w:color="auto" w:fill="B4C6E7" w:themeFill="accent1" w:themeFillTint="66"/>
          </w:tcPr>
          <w:p w14:paraId="76D517D9" w14:textId="21C8504D" w:rsidR="007B37BD" w:rsidRPr="00DB2166" w:rsidRDefault="00DB2166" w:rsidP="002A6A0F">
            <w:pPr>
              <w:jc w:val="center"/>
              <w:rPr>
                <w:b/>
                <w:bCs/>
              </w:rPr>
            </w:pPr>
            <w:r w:rsidRPr="00DB2166">
              <w:rPr>
                <w:b/>
                <w:bCs/>
              </w:rPr>
              <w:t>Examples of w</w:t>
            </w:r>
            <w:r w:rsidR="007B37BD" w:rsidRPr="00DB2166">
              <w:rPr>
                <w:b/>
                <w:bCs/>
              </w:rPr>
              <w:t>hat this might look like</w:t>
            </w:r>
          </w:p>
        </w:tc>
        <w:tc>
          <w:tcPr>
            <w:tcW w:w="2835" w:type="dxa"/>
            <w:shd w:val="clear" w:color="auto" w:fill="B4C6E7" w:themeFill="accent1" w:themeFillTint="66"/>
          </w:tcPr>
          <w:p w14:paraId="0107B468" w14:textId="0BF72463" w:rsidR="007B37BD" w:rsidRPr="00DB2166" w:rsidRDefault="00CD20EE" w:rsidP="002A6A0F">
            <w:pPr>
              <w:jc w:val="center"/>
              <w:rPr>
                <w:b/>
                <w:bCs/>
              </w:rPr>
            </w:pPr>
            <w:r w:rsidRPr="00DB2166">
              <w:rPr>
                <w:b/>
                <w:bCs/>
              </w:rPr>
              <w:t>What has the impact been?</w:t>
            </w:r>
          </w:p>
        </w:tc>
      </w:tr>
      <w:tr w:rsidR="007B37BD" w14:paraId="497F9BC3" w14:textId="77777777" w:rsidTr="0095434C">
        <w:trPr>
          <w:trHeight w:val="1255"/>
        </w:trPr>
        <w:tc>
          <w:tcPr>
            <w:tcW w:w="3823" w:type="dxa"/>
          </w:tcPr>
          <w:p w14:paraId="6F85CCC8" w14:textId="2093D086" w:rsidR="007B37BD" w:rsidRPr="00BD54D2" w:rsidRDefault="00652439" w:rsidP="002A6A0F">
            <w:r w:rsidRPr="00652439">
              <w:rPr>
                <w:b/>
                <w:bCs/>
                <w:color w:val="ED7D31" w:themeColor="accent2"/>
              </w:rPr>
              <w:sym w:font="Wingdings" w:char="F0FC"/>
            </w:r>
            <w:r w:rsidR="007B37BD" w:rsidRPr="00BD54D2">
              <w:t>Physical environment is structured and uncluttered</w:t>
            </w:r>
            <w:r>
              <w:t xml:space="preserve"> </w:t>
            </w:r>
          </w:p>
          <w:p w14:paraId="7B0DFAAB" w14:textId="79C3A6B0" w:rsidR="007B37BD" w:rsidRPr="007A37F6" w:rsidRDefault="007B37BD" w:rsidP="002A6A0F">
            <w:pPr>
              <w:rPr>
                <w:color w:val="FF0000"/>
              </w:rPr>
            </w:pPr>
          </w:p>
        </w:tc>
        <w:tc>
          <w:tcPr>
            <w:tcW w:w="7512" w:type="dxa"/>
          </w:tcPr>
          <w:p w14:paraId="62566AD4" w14:textId="77777777" w:rsidR="007B37BD" w:rsidRPr="0095434C" w:rsidRDefault="007B37BD" w:rsidP="002A6A0F">
            <w:pPr>
              <w:pStyle w:val="ListParagraph"/>
              <w:numPr>
                <w:ilvl w:val="0"/>
                <w:numId w:val="2"/>
              </w:numPr>
              <w:rPr>
                <w:sz w:val="20"/>
                <w:szCs w:val="20"/>
              </w:rPr>
            </w:pPr>
            <w:r w:rsidRPr="0095434C">
              <w:rPr>
                <w:sz w:val="20"/>
                <w:szCs w:val="20"/>
              </w:rPr>
              <w:t>Organised and tidy work areas</w:t>
            </w:r>
          </w:p>
          <w:p w14:paraId="284D38D5" w14:textId="77777777" w:rsidR="007B37BD" w:rsidRPr="0095434C" w:rsidRDefault="007B37BD" w:rsidP="002A6A0F">
            <w:pPr>
              <w:pStyle w:val="ListParagraph"/>
              <w:numPr>
                <w:ilvl w:val="0"/>
                <w:numId w:val="2"/>
              </w:numPr>
              <w:rPr>
                <w:sz w:val="20"/>
                <w:szCs w:val="20"/>
              </w:rPr>
            </w:pPr>
            <w:r w:rsidRPr="0095434C">
              <w:rPr>
                <w:sz w:val="20"/>
                <w:szCs w:val="20"/>
              </w:rPr>
              <w:t>Labelling and accessibility of resources</w:t>
            </w:r>
          </w:p>
          <w:p w14:paraId="358A19D9" w14:textId="77777777" w:rsidR="007B37BD" w:rsidRPr="0095434C" w:rsidRDefault="007B37BD" w:rsidP="002A6A0F">
            <w:pPr>
              <w:pStyle w:val="ListParagraph"/>
              <w:numPr>
                <w:ilvl w:val="0"/>
                <w:numId w:val="2"/>
              </w:numPr>
              <w:rPr>
                <w:sz w:val="20"/>
                <w:szCs w:val="20"/>
              </w:rPr>
            </w:pPr>
            <w:r w:rsidRPr="0095434C">
              <w:rPr>
                <w:sz w:val="20"/>
                <w:szCs w:val="20"/>
              </w:rPr>
              <w:t>Consider seating position</w:t>
            </w:r>
          </w:p>
          <w:p w14:paraId="0E0E64D7" w14:textId="77777777" w:rsidR="007B37BD" w:rsidRPr="0095434C" w:rsidRDefault="007B37BD" w:rsidP="002A6A0F">
            <w:pPr>
              <w:pStyle w:val="ListParagraph"/>
              <w:numPr>
                <w:ilvl w:val="0"/>
                <w:numId w:val="2"/>
              </w:numPr>
              <w:rPr>
                <w:sz w:val="20"/>
                <w:szCs w:val="20"/>
              </w:rPr>
            </w:pPr>
            <w:r w:rsidRPr="0095434C">
              <w:rPr>
                <w:sz w:val="20"/>
                <w:szCs w:val="20"/>
              </w:rPr>
              <w:t>Clear walkways</w:t>
            </w:r>
          </w:p>
          <w:p w14:paraId="593F38C3" w14:textId="77777777" w:rsidR="007B37BD" w:rsidRPr="0095434C" w:rsidRDefault="007B37BD" w:rsidP="002A6A0F">
            <w:pPr>
              <w:pStyle w:val="ListParagraph"/>
              <w:numPr>
                <w:ilvl w:val="0"/>
                <w:numId w:val="2"/>
              </w:numPr>
              <w:rPr>
                <w:sz w:val="20"/>
                <w:szCs w:val="20"/>
              </w:rPr>
            </w:pPr>
            <w:r w:rsidRPr="0095434C">
              <w:rPr>
                <w:sz w:val="20"/>
                <w:szCs w:val="20"/>
              </w:rPr>
              <w:t>Different areas visually demarcated – what happens where (internal and external spaces)</w:t>
            </w:r>
          </w:p>
          <w:p w14:paraId="69717491" w14:textId="77777777" w:rsidR="007B37BD" w:rsidRPr="0095434C" w:rsidRDefault="007B37BD" w:rsidP="002A6A0F">
            <w:pPr>
              <w:pStyle w:val="ListParagraph"/>
              <w:numPr>
                <w:ilvl w:val="0"/>
                <w:numId w:val="2"/>
              </w:numPr>
              <w:rPr>
                <w:sz w:val="20"/>
                <w:szCs w:val="20"/>
              </w:rPr>
            </w:pPr>
            <w:r w:rsidRPr="0095434C">
              <w:rPr>
                <w:sz w:val="20"/>
                <w:szCs w:val="20"/>
              </w:rPr>
              <w:t>Choice boards; available not available activities</w:t>
            </w:r>
          </w:p>
        </w:tc>
        <w:tc>
          <w:tcPr>
            <w:tcW w:w="2835" w:type="dxa"/>
          </w:tcPr>
          <w:p w14:paraId="35C45F0F" w14:textId="77777777" w:rsidR="007B37BD" w:rsidRDefault="007B37BD" w:rsidP="002A6A0F"/>
        </w:tc>
      </w:tr>
      <w:tr w:rsidR="007B37BD" w14:paraId="745A3660" w14:textId="77777777" w:rsidTr="0095434C">
        <w:trPr>
          <w:trHeight w:val="749"/>
        </w:trPr>
        <w:tc>
          <w:tcPr>
            <w:tcW w:w="3823" w:type="dxa"/>
          </w:tcPr>
          <w:p w14:paraId="3F877576" w14:textId="67635A2A" w:rsidR="007B37BD" w:rsidRDefault="00652439" w:rsidP="002A6A0F">
            <w:r w:rsidRPr="00652439">
              <w:rPr>
                <w:b/>
                <w:bCs/>
                <w:color w:val="ED7D31" w:themeColor="accent2"/>
              </w:rPr>
              <w:sym w:font="Wingdings" w:char="F0FC"/>
            </w:r>
            <w:r w:rsidR="007B37BD">
              <w:t>Whole class visual timetable displayed and actively used</w:t>
            </w:r>
          </w:p>
          <w:p w14:paraId="4AB1FFBE" w14:textId="3DE5D15C" w:rsidR="007B37BD" w:rsidRDefault="007B37BD" w:rsidP="002A6A0F"/>
        </w:tc>
        <w:tc>
          <w:tcPr>
            <w:tcW w:w="7512" w:type="dxa"/>
          </w:tcPr>
          <w:p w14:paraId="29ACE7A1" w14:textId="0EE5E147" w:rsidR="007B37BD" w:rsidRPr="0095434C" w:rsidRDefault="007B37BD" w:rsidP="002A6A0F">
            <w:pPr>
              <w:pStyle w:val="ListParagraph"/>
              <w:numPr>
                <w:ilvl w:val="0"/>
                <w:numId w:val="3"/>
              </w:numPr>
              <w:rPr>
                <w:sz w:val="20"/>
                <w:szCs w:val="20"/>
              </w:rPr>
            </w:pPr>
            <w:r w:rsidRPr="0095434C">
              <w:rPr>
                <w:sz w:val="20"/>
                <w:szCs w:val="20"/>
              </w:rPr>
              <w:t>Active use of objects o</w:t>
            </w:r>
            <w:r w:rsidR="00652439" w:rsidRPr="0095434C">
              <w:rPr>
                <w:sz w:val="20"/>
                <w:szCs w:val="20"/>
              </w:rPr>
              <w:t>f</w:t>
            </w:r>
            <w:r w:rsidRPr="0095434C">
              <w:rPr>
                <w:sz w:val="20"/>
                <w:szCs w:val="20"/>
              </w:rPr>
              <w:t xml:space="preserve"> reference, photographs, symbols, and written word to communicate daily routines.</w:t>
            </w:r>
          </w:p>
          <w:p w14:paraId="693EC987" w14:textId="77777777" w:rsidR="007B37BD" w:rsidRPr="0095434C" w:rsidRDefault="007B37BD" w:rsidP="002A6A0F">
            <w:pPr>
              <w:pStyle w:val="ListParagraph"/>
              <w:numPr>
                <w:ilvl w:val="0"/>
                <w:numId w:val="3"/>
              </w:numPr>
              <w:rPr>
                <w:sz w:val="20"/>
                <w:szCs w:val="20"/>
              </w:rPr>
            </w:pPr>
            <w:r w:rsidRPr="0095434C">
              <w:rPr>
                <w:sz w:val="20"/>
                <w:szCs w:val="20"/>
              </w:rPr>
              <w:t>Display positioning considered to enable effective use</w:t>
            </w:r>
          </w:p>
          <w:p w14:paraId="28C6292B" w14:textId="28419DDF" w:rsidR="007B37BD" w:rsidRPr="0095434C" w:rsidRDefault="0020311D" w:rsidP="002A6A0F">
            <w:pPr>
              <w:pStyle w:val="ListParagraph"/>
              <w:numPr>
                <w:ilvl w:val="0"/>
                <w:numId w:val="3"/>
              </w:numPr>
              <w:rPr>
                <w:sz w:val="20"/>
                <w:szCs w:val="20"/>
              </w:rPr>
            </w:pPr>
            <w:r w:rsidRPr="0095434C">
              <w:rPr>
                <w:sz w:val="20"/>
                <w:szCs w:val="20"/>
              </w:rPr>
              <w:t>Timetables s</w:t>
            </w:r>
            <w:r w:rsidR="007B37BD" w:rsidRPr="0095434C">
              <w:rPr>
                <w:sz w:val="20"/>
                <w:szCs w:val="20"/>
              </w:rPr>
              <w:t xml:space="preserve">et up with class, </w:t>
            </w:r>
            <w:r w:rsidRPr="0095434C">
              <w:rPr>
                <w:sz w:val="20"/>
                <w:szCs w:val="20"/>
              </w:rPr>
              <w:t>talked</w:t>
            </w:r>
            <w:r w:rsidR="007B37BD" w:rsidRPr="0095434C">
              <w:rPr>
                <w:sz w:val="20"/>
                <w:szCs w:val="20"/>
              </w:rPr>
              <w:t xml:space="preserve"> through</w:t>
            </w:r>
            <w:r w:rsidRPr="0095434C">
              <w:rPr>
                <w:sz w:val="20"/>
                <w:szCs w:val="20"/>
              </w:rPr>
              <w:t>,</w:t>
            </w:r>
            <w:r w:rsidR="007B37BD" w:rsidRPr="0095434C">
              <w:rPr>
                <w:sz w:val="20"/>
                <w:szCs w:val="20"/>
              </w:rPr>
              <w:t xml:space="preserve"> items removed when the activity </w:t>
            </w:r>
            <w:r w:rsidRPr="0095434C">
              <w:rPr>
                <w:sz w:val="20"/>
                <w:szCs w:val="20"/>
              </w:rPr>
              <w:t>ha</w:t>
            </w:r>
            <w:r w:rsidR="007B37BD" w:rsidRPr="0095434C">
              <w:rPr>
                <w:sz w:val="20"/>
                <w:szCs w:val="20"/>
              </w:rPr>
              <w:t>s finishe</w:t>
            </w:r>
            <w:r w:rsidRPr="0095434C">
              <w:rPr>
                <w:sz w:val="20"/>
                <w:szCs w:val="20"/>
              </w:rPr>
              <w:t>d</w:t>
            </w:r>
            <w:r w:rsidR="00291EDD">
              <w:rPr>
                <w:sz w:val="20"/>
                <w:szCs w:val="20"/>
              </w:rPr>
              <w:t xml:space="preserve"> and change to expected clearly indicated and </w:t>
            </w:r>
            <w:r w:rsidR="00DF4F13">
              <w:rPr>
                <w:sz w:val="20"/>
                <w:szCs w:val="20"/>
              </w:rPr>
              <w:t>discussed</w:t>
            </w:r>
            <w:r w:rsidR="00291EDD">
              <w:rPr>
                <w:sz w:val="20"/>
                <w:szCs w:val="20"/>
              </w:rPr>
              <w:t>.</w:t>
            </w:r>
          </w:p>
        </w:tc>
        <w:tc>
          <w:tcPr>
            <w:tcW w:w="2835" w:type="dxa"/>
          </w:tcPr>
          <w:p w14:paraId="34351B04" w14:textId="77777777" w:rsidR="007B37BD" w:rsidRDefault="007B37BD" w:rsidP="002A6A0F"/>
        </w:tc>
      </w:tr>
      <w:tr w:rsidR="007B37BD" w14:paraId="3D32C3E4" w14:textId="77777777" w:rsidTr="0095434C">
        <w:trPr>
          <w:trHeight w:val="505"/>
        </w:trPr>
        <w:tc>
          <w:tcPr>
            <w:tcW w:w="3823" w:type="dxa"/>
          </w:tcPr>
          <w:p w14:paraId="43E4FD7B" w14:textId="349D8998" w:rsidR="007B37BD" w:rsidRDefault="00652439" w:rsidP="002A6A0F">
            <w:r w:rsidRPr="00652439">
              <w:rPr>
                <w:b/>
                <w:bCs/>
                <w:color w:val="ED7D31" w:themeColor="accent2"/>
              </w:rPr>
              <w:sym w:font="Wingdings" w:char="F0FC"/>
            </w:r>
            <w:r w:rsidR="007B37BD">
              <w:t>Quiet low arousal space within the class or another area of school</w:t>
            </w:r>
          </w:p>
        </w:tc>
        <w:tc>
          <w:tcPr>
            <w:tcW w:w="7512" w:type="dxa"/>
          </w:tcPr>
          <w:p w14:paraId="42DD3438" w14:textId="5E423B27" w:rsidR="007B37BD" w:rsidRPr="0095434C" w:rsidRDefault="007B37BD" w:rsidP="002A6A0F">
            <w:pPr>
              <w:pStyle w:val="ListParagraph"/>
              <w:numPr>
                <w:ilvl w:val="0"/>
                <w:numId w:val="4"/>
              </w:numPr>
              <w:rPr>
                <w:sz w:val="20"/>
                <w:szCs w:val="20"/>
              </w:rPr>
            </w:pPr>
            <w:r w:rsidRPr="0095434C">
              <w:rPr>
                <w:sz w:val="20"/>
                <w:szCs w:val="20"/>
              </w:rPr>
              <w:t>A sectioned off space of the classroom with mats/beanbags or desk space.</w:t>
            </w:r>
          </w:p>
          <w:p w14:paraId="3B292EB2" w14:textId="138E488E" w:rsidR="007B37BD" w:rsidRPr="0095434C" w:rsidRDefault="007B37BD" w:rsidP="002A6A0F">
            <w:pPr>
              <w:pStyle w:val="ListParagraph"/>
              <w:numPr>
                <w:ilvl w:val="0"/>
                <w:numId w:val="4"/>
              </w:numPr>
              <w:rPr>
                <w:sz w:val="20"/>
                <w:szCs w:val="20"/>
              </w:rPr>
            </w:pPr>
            <w:r w:rsidRPr="0095434C">
              <w:rPr>
                <w:sz w:val="20"/>
                <w:szCs w:val="20"/>
              </w:rPr>
              <w:t>Access to another room as needed.</w:t>
            </w:r>
          </w:p>
          <w:p w14:paraId="035D2A85" w14:textId="117E85F5" w:rsidR="007B37BD" w:rsidRPr="0095434C" w:rsidRDefault="0020311D" w:rsidP="0020311D">
            <w:pPr>
              <w:pStyle w:val="ListParagraph"/>
              <w:numPr>
                <w:ilvl w:val="0"/>
                <w:numId w:val="4"/>
              </w:numPr>
              <w:rPr>
                <w:sz w:val="20"/>
                <w:szCs w:val="20"/>
              </w:rPr>
            </w:pPr>
            <w:r w:rsidRPr="0095434C">
              <w:rPr>
                <w:sz w:val="20"/>
                <w:szCs w:val="20"/>
              </w:rPr>
              <w:t>Reduced sensory display area</w:t>
            </w:r>
          </w:p>
        </w:tc>
        <w:tc>
          <w:tcPr>
            <w:tcW w:w="2835" w:type="dxa"/>
          </w:tcPr>
          <w:p w14:paraId="11F69EB2" w14:textId="77777777" w:rsidR="007B37BD" w:rsidRDefault="007B37BD" w:rsidP="002A6A0F"/>
        </w:tc>
      </w:tr>
      <w:tr w:rsidR="007B37BD" w14:paraId="51DE503F" w14:textId="77777777" w:rsidTr="0095434C">
        <w:trPr>
          <w:trHeight w:val="505"/>
        </w:trPr>
        <w:tc>
          <w:tcPr>
            <w:tcW w:w="3823" w:type="dxa"/>
          </w:tcPr>
          <w:p w14:paraId="5F91E8A1" w14:textId="7B3F7936" w:rsidR="007B37BD" w:rsidRDefault="00652439" w:rsidP="002A6A0F">
            <w:r w:rsidRPr="00652439">
              <w:rPr>
                <w:b/>
                <w:bCs/>
                <w:color w:val="4472C4" w:themeColor="accent1"/>
              </w:rPr>
              <w:sym w:font="Wingdings" w:char="F0FC"/>
            </w:r>
            <w:r w:rsidR="004425DF" w:rsidRPr="00C75A05">
              <w:rPr>
                <w:b/>
                <w:bCs/>
                <w:color w:val="FF0000"/>
              </w:rPr>
              <w:sym w:font="Wingdings" w:char="F0FC"/>
            </w:r>
            <w:r w:rsidR="007B37BD" w:rsidRPr="00BD54D2">
              <w:t>Language</w:t>
            </w:r>
            <w:r w:rsidR="007B37BD">
              <w:t xml:space="preserve"> and communication adjusted to meet the developmental needs</w:t>
            </w:r>
          </w:p>
        </w:tc>
        <w:tc>
          <w:tcPr>
            <w:tcW w:w="7512" w:type="dxa"/>
          </w:tcPr>
          <w:p w14:paraId="7B964A6B" w14:textId="77777777" w:rsidR="007B37BD" w:rsidRPr="0095434C" w:rsidRDefault="007B37BD" w:rsidP="002A6A0F">
            <w:pPr>
              <w:pStyle w:val="ListParagraph"/>
              <w:numPr>
                <w:ilvl w:val="0"/>
                <w:numId w:val="5"/>
              </w:numPr>
              <w:rPr>
                <w:sz w:val="20"/>
                <w:szCs w:val="20"/>
              </w:rPr>
            </w:pPr>
            <w:r w:rsidRPr="0095434C">
              <w:rPr>
                <w:sz w:val="20"/>
                <w:szCs w:val="20"/>
              </w:rPr>
              <w:t>Allow for processing time.</w:t>
            </w:r>
          </w:p>
          <w:p w14:paraId="4FB1D438" w14:textId="77777777" w:rsidR="007B37BD" w:rsidRPr="0095434C" w:rsidRDefault="007B37BD" w:rsidP="002A6A0F">
            <w:pPr>
              <w:pStyle w:val="ListParagraph"/>
              <w:numPr>
                <w:ilvl w:val="0"/>
                <w:numId w:val="5"/>
              </w:numPr>
              <w:rPr>
                <w:sz w:val="20"/>
                <w:szCs w:val="20"/>
              </w:rPr>
            </w:pPr>
            <w:r w:rsidRPr="0095434C">
              <w:rPr>
                <w:sz w:val="20"/>
                <w:szCs w:val="20"/>
              </w:rPr>
              <w:t>Keep verbal communication short and simple.</w:t>
            </w:r>
          </w:p>
          <w:p w14:paraId="7427512A" w14:textId="77777777" w:rsidR="007B37BD" w:rsidRPr="0095434C" w:rsidRDefault="007B37BD" w:rsidP="002A6A0F">
            <w:pPr>
              <w:pStyle w:val="ListParagraph"/>
              <w:numPr>
                <w:ilvl w:val="0"/>
                <w:numId w:val="5"/>
              </w:numPr>
              <w:rPr>
                <w:sz w:val="20"/>
                <w:szCs w:val="20"/>
              </w:rPr>
            </w:pPr>
            <w:r w:rsidRPr="0095434C">
              <w:rPr>
                <w:sz w:val="20"/>
                <w:szCs w:val="20"/>
              </w:rPr>
              <w:t>Make the implicit explicit.</w:t>
            </w:r>
          </w:p>
          <w:p w14:paraId="2361BCE2" w14:textId="77777777" w:rsidR="007B37BD" w:rsidRPr="0095434C" w:rsidRDefault="007B37BD" w:rsidP="002A6A0F">
            <w:pPr>
              <w:pStyle w:val="ListParagraph"/>
              <w:numPr>
                <w:ilvl w:val="0"/>
                <w:numId w:val="5"/>
              </w:numPr>
              <w:rPr>
                <w:sz w:val="20"/>
                <w:szCs w:val="20"/>
              </w:rPr>
            </w:pPr>
            <w:r w:rsidRPr="0095434C">
              <w:rPr>
                <w:sz w:val="20"/>
                <w:szCs w:val="20"/>
              </w:rPr>
              <w:t>Show, model, draw and write it down.</w:t>
            </w:r>
          </w:p>
          <w:p w14:paraId="7797F10E" w14:textId="77777777" w:rsidR="007B37BD" w:rsidRPr="0095434C" w:rsidRDefault="007B37BD" w:rsidP="002A6A0F">
            <w:pPr>
              <w:pStyle w:val="ListParagraph"/>
              <w:numPr>
                <w:ilvl w:val="0"/>
                <w:numId w:val="5"/>
              </w:numPr>
              <w:rPr>
                <w:sz w:val="20"/>
                <w:szCs w:val="20"/>
              </w:rPr>
            </w:pPr>
            <w:r w:rsidRPr="0095434C">
              <w:rPr>
                <w:sz w:val="20"/>
                <w:szCs w:val="20"/>
              </w:rPr>
              <w:t>Use of visuals to reinforce spoken language where possible.</w:t>
            </w:r>
          </w:p>
          <w:p w14:paraId="1B07A6D1" w14:textId="77777777" w:rsidR="007B37BD" w:rsidRPr="0095434C" w:rsidRDefault="007B37BD" w:rsidP="002A6A0F">
            <w:pPr>
              <w:pStyle w:val="ListParagraph"/>
              <w:numPr>
                <w:ilvl w:val="0"/>
                <w:numId w:val="5"/>
              </w:numPr>
              <w:rPr>
                <w:sz w:val="20"/>
                <w:szCs w:val="20"/>
              </w:rPr>
            </w:pPr>
            <w:r w:rsidRPr="0095434C">
              <w:rPr>
                <w:sz w:val="20"/>
                <w:szCs w:val="20"/>
              </w:rPr>
              <w:t>Display new topic words and matching visual reference</w:t>
            </w:r>
          </w:p>
        </w:tc>
        <w:tc>
          <w:tcPr>
            <w:tcW w:w="2835" w:type="dxa"/>
          </w:tcPr>
          <w:p w14:paraId="3BC363F4" w14:textId="77777777" w:rsidR="007B37BD" w:rsidRDefault="007B37BD" w:rsidP="002A6A0F"/>
        </w:tc>
      </w:tr>
      <w:tr w:rsidR="007B37BD" w14:paraId="7272656D" w14:textId="77777777" w:rsidTr="0095434C">
        <w:trPr>
          <w:trHeight w:val="252"/>
        </w:trPr>
        <w:tc>
          <w:tcPr>
            <w:tcW w:w="3823" w:type="dxa"/>
          </w:tcPr>
          <w:p w14:paraId="58B95B19" w14:textId="2F090518" w:rsidR="007B37BD" w:rsidRDefault="00652439" w:rsidP="002A6A0F">
            <w:r w:rsidRPr="00652439">
              <w:rPr>
                <w:b/>
                <w:bCs/>
                <w:color w:val="ED7D31" w:themeColor="accent2"/>
              </w:rPr>
              <w:sym w:font="Wingdings" w:char="F0FC"/>
            </w:r>
            <w:r w:rsidR="004425DF" w:rsidRPr="00652439">
              <w:rPr>
                <w:b/>
                <w:bCs/>
                <w:color w:val="FF0000"/>
              </w:rPr>
              <w:sym w:font="Wingdings" w:char="F0FC"/>
            </w:r>
            <w:r w:rsidR="007B37BD">
              <w:t>Communication of clear expectations</w:t>
            </w:r>
            <w:r w:rsidR="006568A3">
              <w:t xml:space="preserve"> and social teaching</w:t>
            </w:r>
          </w:p>
        </w:tc>
        <w:tc>
          <w:tcPr>
            <w:tcW w:w="7512" w:type="dxa"/>
          </w:tcPr>
          <w:p w14:paraId="59E8C298" w14:textId="77777777" w:rsidR="007B37BD" w:rsidRPr="0095434C" w:rsidRDefault="007B37BD" w:rsidP="002A6A0F">
            <w:pPr>
              <w:pStyle w:val="ListParagraph"/>
              <w:numPr>
                <w:ilvl w:val="0"/>
                <w:numId w:val="6"/>
              </w:numPr>
              <w:rPr>
                <w:sz w:val="20"/>
                <w:szCs w:val="20"/>
              </w:rPr>
            </w:pPr>
            <w:r w:rsidRPr="0095434C">
              <w:rPr>
                <w:sz w:val="20"/>
                <w:szCs w:val="20"/>
              </w:rPr>
              <w:t>Break down instructions into small chunks.</w:t>
            </w:r>
          </w:p>
          <w:p w14:paraId="517E2C5E" w14:textId="77777777" w:rsidR="007B37BD" w:rsidRPr="0095434C" w:rsidRDefault="007B37BD" w:rsidP="002A6A0F">
            <w:pPr>
              <w:pStyle w:val="ListParagraph"/>
              <w:numPr>
                <w:ilvl w:val="0"/>
                <w:numId w:val="6"/>
              </w:numPr>
              <w:rPr>
                <w:sz w:val="20"/>
                <w:szCs w:val="20"/>
              </w:rPr>
            </w:pPr>
            <w:r w:rsidRPr="0095434C">
              <w:rPr>
                <w:sz w:val="20"/>
                <w:szCs w:val="20"/>
              </w:rPr>
              <w:t>Effective use of strategies to manage noise level.</w:t>
            </w:r>
          </w:p>
          <w:p w14:paraId="7078E23F" w14:textId="77777777" w:rsidR="007B37BD" w:rsidRPr="0095434C" w:rsidRDefault="007B37BD" w:rsidP="002A6A0F">
            <w:pPr>
              <w:pStyle w:val="ListParagraph"/>
              <w:numPr>
                <w:ilvl w:val="0"/>
                <w:numId w:val="6"/>
              </w:numPr>
              <w:rPr>
                <w:sz w:val="20"/>
                <w:szCs w:val="20"/>
              </w:rPr>
            </w:pPr>
            <w:r w:rsidRPr="0095434C">
              <w:rPr>
                <w:sz w:val="20"/>
                <w:szCs w:val="20"/>
              </w:rPr>
              <w:t>Systems in place to manage busier times of the day e.g. collecting coats, transitioning between activities.</w:t>
            </w:r>
          </w:p>
          <w:p w14:paraId="0617ACEA" w14:textId="77777777" w:rsidR="007B37BD" w:rsidRPr="0095434C" w:rsidRDefault="007B37BD" w:rsidP="002A6A0F">
            <w:pPr>
              <w:pStyle w:val="ListParagraph"/>
              <w:numPr>
                <w:ilvl w:val="0"/>
                <w:numId w:val="6"/>
              </w:numPr>
              <w:rPr>
                <w:sz w:val="20"/>
                <w:szCs w:val="20"/>
              </w:rPr>
            </w:pPr>
            <w:r w:rsidRPr="0095434C">
              <w:rPr>
                <w:sz w:val="20"/>
                <w:szCs w:val="20"/>
              </w:rPr>
              <w:t>Incentives to encourage positive behaviours e.g. marble jar, house points.</w:t>
            </w:r>
          </w:p>
          <w:p w14:paraId="6E8E79D2" w14:textId="76C4F00E" w:rsidR="006568A3" w:rsidRPr="0095434C" w:rsidRDefault="006568A3" w:rsidP="002A6A0F">
            <w:pPr>
              <w:pStyle w:val="ListParagraph"/>
              <w:numPr>
                <w:ilvl w:val="0"/>
                <w:numId w:val="6"/>
              </w:numPr>
              <w:rPr>
                <w:sz w:val="20"/>
                <w:szCs w:val="20"/>
              </w:rPr>
            </w:pPr>
            <w:r w:rsidRPr="0095434C">
              <w:rPr>
                <w:sz w:val="20"/>
                <w:szCs w:val="20"/>
              </w:rPr>
              <w:t>Explicitly model social nuances and make the implicit explicit.</w:t>
            </w:r>
          </w:p>
          <w:p w14:paraId="22A781EA" w14:textId="497E0420" w:rsidR="006568A3" w:rsidRPr="0095434C" w:rsidRDefault="006568A3" w:rsidP="002A6A0F">
            <w:pPr>
              <w:pStyle w:val="ListParagraph"/>
              <w:numPr>
                <w:ilvl w:val="0"/>
                <w:numId w:val="6"/>
              </w:numPr>
              <w:rPr>
                <w:sz w:val="20"/>
                <w:szCs w:val="20"/>
              </w:rPr>
            </w:pPr>
            <w:r w:rsidRPr="0095434C">
              <w:rPr>
                <w:sz w:val="20"/>
                <w:szCs w:val="20"/>
              </w:rPr>
              <w:t>Specific and timely praise.</w:t>
            </w:r>
          </w:p>
          <w:p w14:paraId="02712CF3" w14:textId="0F3A2743" w:rsidR="006568A3" w:rsidRPr="0095434C" w:rsidRDefault="006568A3" w:rsidP="002A6A0F">
            <w:pPr>
              <w:pStyle w:val="ListParagraph"/>
              <w:numPr>
                <w:ilvl w:val="0"/>
                <w:numId w:val="6"/>
              </w:numPr>
              <w:rPr>
                <w:sz w:val="20"/>
                <w:szCs w:val="20"/>
              </w:rPr>
            </w:pPr>
            <w:r w:rsidRPr="0095434C">
              <w:rPr>
                <w:sz w:val="20"/>
                <w:szCs w:val="20"/>
              </w:rPr>
              <w:t>Use of positive language to direct the behaviour sought</w:t>
            </w:r>
          </w:p>
          <w:p w14:paraId="688C6B64" w14:textId="286BC555" w:rsidR="006568A3" w:rsidRPr="0095434C" w:rsidRDefault="006568A3" w:rsidP="002A6A0F">
            <w:pPr>
              <w:pStyle w:val="ListParagraph"/>
              <w:numPr>
                <w:ilvl w:val="0"/>
                <w:numId w:val="6"/>
              </w:numPr>
              <w:rPr>
                <w:sz w:val="20"/>
                <w:szCs w:val="20"/>
              </w:rPr>
            </w:pPr>
            <w:r w:rsidRPr="0095434C">
              <w:rPr>
                <w:sz w:val="20"/>
                <w:szCs w:val="20"/>
              </w:rPr>
              <w:t>Class expectations/agreed rules displayed and referred to</w:t>
            </w:r>
          </w:p>
        </w:tc>
        <w:tc>
          <w:tcPr>
            <w:tcW w:w="2835" w:type="dxa"/>
          </w:tcPr>
          <w:p w14:paraId="31ADC52F" w14:textId="77777777" w:rsidR="007B37BD" w:rsidRDefault="007B37BD" w:rsidP="002A6A0F"/>
        </w:tc>
      </w:tr>
    </w:tbl>
    <w:p w14:paraId="47AD6262" w14:textId="35BA9B66" w:rsidR="000C0245" w:rsidRDefault="008D3CD1">
      <w:r>
        <w:rPr>
          <w:rFonts w:cstheme="minorHAnsi"/>
          <w:b/>
          <w:bCs/>
          <w:noProof/>
          <w:sz w:val="36"/>
          <w:szCs w:val="36"/>
        </w:rPr>
        <w:lastRenderedPageBreak/>
        <mc:AlternateContent>
          <mc:Choice Requires="wps">
            <w:drawing>
              <wp:anchor distT="0" distB="0" distL="114300" distR="114300" simplePos="0" relativeHeight="251668480" behindDoc="0" locked="0" layoutInCell="1" allowOverlap="1" wp14:anchorId="7C633C06" wp14:editId="756001FA">
                <wp:simplePos x="0" y="0"/>
                <wp:positionH relativeFrom="margin">
                  <wp:align>left</wp:align>
                </wp:positionH>
                <wp:positionV relativeFrom="paragraph">
                  <wp:posOffset>6454480</wp:posOffset>
                </wp:positionV>
                <wp:extent cx="9017252" cy="584791"/>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9017252" cy="584791"/>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24A148E6" w14:textId="02B2805C" w:rsidR="008E3ED2" w:rsidRPr="00323D20" w:rsidRDefault="008E3ED2" w:rsidP="008E3ED2">
                            <w:pPr>
                              <w:jc w:val="center"/>
                              <w:rPr>
                                <w:b/>
                                <w:bCs/>
                                <w:sz w:val="24"/>
                                <w:szCs w:val="24"/>
                              </w:rPr>
                            </w:pPr>
                            <w:r w:rsidRPr="00323D20">
                              <w:rPr>
                                <w:b/>
                                <w:bCs/>
                                <w:sz w:val="24"/>
                                <w:szCs w:val="24"/>
                              </w:rPr>
                              <w:t xml:space="preserve">Inclusive strategies for autistic young people </w:t>
                            </w:r>
                            <w:r w:rsidR="00E96CA8">
                              <w:rPr>
                                <w:b/>
                                <w:bCs/>
                                <w:sz w:val="24"/>
                                <w:szCs w:val="24"/>
                              </w:rPr>
                              <w:t xml:space="preserve">and those with social interaction and communication differences </w:t>
                            </w:r>
                            <w:r w:rsidRPr="00323D20">
                              <w:rPr>
                                <w:b/>
                                <w:bCs/>
                                <w:sz w:val="24"/>
                                <w:szCs w:val="24"/>
                              </w:rPr>
                              <w:t>in an educational setting</w:t>
                            </w:r>
                          </w:p>
                          <w:p w14:paraId="339E5EC6" w14:textId="77777777" w:rsidR="0089127A" w:rsidRDefault="0089127A" w:rsidP="0089127A">
                            <w:pPr>
                              <w:jc w:val="center"/>
                              <w:rPr>
                                <w:sz w:val="24"/>
                                <w:szCs w:val="24"/>
                              </w:rPr>
                            </w:pPr>
                            <w:r w:rsidRPr="008E3ED2">
                              <w:rPr>
                                <w:sz w:val="24"/>
                                <w:szCs w:val="24"/>
                              </w:rPr>
                              <w:t>Gloucestershire Advisory Teaching Service:   Communication and Interaction Team</w:t>
                            </w:r>
                          </w:p>
                          <w:p w14:paraId="5A76653D" w14:textId="77777777" w:rsidR="008E3ED2" w:rsidRPr="00C82518" w:rsidRDefault="008E3ED2" w:rsidP="008E3ED2">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33C06" id="Text Box 3" o:spid="_x0000_s1028" type="#_x0000_t202" style="position:absolute;margin-left:0;margin-top:508.25pt;width:710pt;height:46.0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" fillcolor="#4472c4 [3204]" strokecolor="white [3201]" strokeweight="1.5pt">
                <v:textbox>
                  <w:txbxContent>
                    <w:p w14:paraId="24A148E6" w14:textId="02B2805C" w:rsidR="008E3ED2" w:rsidRPr="00323D20" w:rsidRDefault="008E3ED2" w:rsidP="008E3ED2">
                      <w:pPr>
                        <w:jc w:val="center"/>
                        <w:rPr>
                          <w:b/>
                          <w:bCs/>
                          <w:sz w:val="24"/>
                          <w:szCs w:val="24"/>
                        </w:rPr>
                      </w:pPr>
                      <w:r w:rsidRPr="00323D20">
                        <w:rPr>
                          <w:b/>
                          <w:bCs/>
                          <w:sz w:val="24"/>
                          <w:szCs w:val="24"/>
                        </w:rPr>
                        <w:t xml:space="preserve">Inclusive strategies for autistic young people </w:t>
                      </w:r>
                      <w:r w:rsidR="00E96CA8">
                        <w:rPr>
                          <w:b/>
                          <w:bCs/>
                          <w:sz w:val="24"/>
                          <w:szCs w:val="24"/>
                        </w:rPr>
                        <w:t xml:space="preserve">and those with social interaction and communication differences </w:t>
                      </w:r>
                      <w:r w:rsidRPr="00323D20">
                        <w:rPr>
                          <w:b/>
                          <w:bCs/>
                          <w:sz w:val="24"/>
                          <w:szCs w:val="24"/>
                        </w:rPr>
                        <w:t>in an educational setting</w:t>
                      </w:r>
                    </w:p>
                    <w:p w14:paraId="339E5EC6" w14:textId="77777777" w:rsidR="0089127A" w:rsidRDefault="0089127A" w:rsidP="0089127A">
                      <w:pPr>
                        <w:jc w:val="center"/>
                        <w:rPr>
                          <w:sz w:val="24"/>
                          <w:szCs w:val="24"/>
                        </w:rPr>
                      </w:pPr>
                      <w:r w:rsidRPr="008E3ED2">
                        <w:rPr>
                          <w:sz w:val="24"/>
                          <w:szCs w:val="24"/>
                        </w:rPr>
                        <w:t>Gloucestershire Advisory Teaching Service:   Communication and Interaction Team</w:t>
                      </w:r>
                    </w:p>
                    <w:p w14:paraId="5A76653D" w14:textId="77777777" w:rsidR="008E3ED2" w:rsidRPr="00C82518" w:rsidRDefault="008E3ED2" w:rsidP="008E3ED2">
                      <w:pPr>
                        <w:jc w:val="center"/>
                        <w:rPr>
                          <w:sz w:val="36"/>
                          <w:szCs w:val="36"/>
                        </w:rPr>
                      </w:pPr>
                    </w:p>
                  </w:txbxContent>
                </v:textbox>
                <w10:wrap anchorx="margin"/>
              </v:shape>
            </w:pict>
          </mc:Fallback>
        </mc:AlternateContent>
      </w:r>
    </w:p>
    <w:tbl>
      <w:tblPr>
        <w:tblStyle w:val="TableGrid"/>
        <w:tblW w:w="14170" w:type="dxa"/>
        <w:tblLook w:val="04A0" w:firstRow="1" w:lastRow="0" w:firstColumn="1" w:lastColumn="0" w:noHBand="0" w:noVBand="1"/>
      </w:tblPr>
      <w:tblGrid>
        <w:gridCol w:w="3823"/>
        <w:gridCol w:w="7512"/>
        <w:gridCol w:w="2835"/>
      </w:tblGrid>
      <w:tr w:rsidR="00DB2166" w14:paraId="34CF3765" w14:textId="77777777" w:rsidTr="0095434C">
        <w:trPr>
          <w:trHeight w:val="496"/>
        </w:trPr>
        <w:tc>
          <w:tcPr>
            <w:tcW w:w="3823" w:type="dxa"/>
            <w:shd w:val="clear" w:color="auto" w:fill="B4C6E7" w:themeFill="accent1" w:themeFillTint="66"/>
          </w:tcPr>
          <w:p w14:paraId="3D86275E" w14:textId="1402BA2F" w:rsidR="00DB2166" w:rsidRPr="007A37F6" w:rsidRDefault="00307EA7" w:rsidP="008D3CD1">
            <w:pPr>
              <w:rPr>
                <w:noProof/>
                <w:color w:val="FF0000"/>
              </w:rPr>
            </w:pPr>
            <w:r>
              <w:rPr>
                <w:b/>
                <w:bCs/>
              </w:rPr>
              <w:t>Universal a</w:t>
            </w:r>
            <w:r w:rsidR="00DB2166" w:rsidRPr="002A6A0F">
              <w:rPr>
                <w:b/>
                <w:bCs/>
              </w:rPr>
              <w:t>utism friendly approaches to embed at whole class level</w:t>
            </w:r>
          </w:p>
        </w:tc>
        <w:tc>
          <w:tcPr>
            <w:tcW w:w="7512" w:type="dxa"/>
            <w:shd w:val="clear" w:color="auto" w:fill="B4C6E7" w:themeFill="accent1" w:themeFillTint="66"/>
          </w:tcPr>
          <w:p w14:paraId="5EA11A63" w14:textId="5055766D" w:rsidR="00DB2166" w:rsidRPr="00DB2166" w:rsidRDefault="00DB2166" w:rsidP="00DB2166">
            <w:pPr>
              <w:pStyle w:val="ListParagraph"/>
              <w:jc w:val="center"/>
              <w:rPr>
                <w:b/>
                <w:bCs/>
              </w:rPr>
            </w:pPr>
            <w:r w:rsidRPr="00DB2166">
              <w:rPr>
                <w:b/>
                <w:bCs/>
              </w:rPr>
              <w:t>Examples of what this might look like</w:t>
            </w:r>
          </w:p>
        </w:tc>
        <w:tc>
          <w:tcPr>
            <w:tcW w:w="2835" w:type="dxa"/>
            <w:shd w:val="clear" w:color="auto" w:fill="B4C6E7" w:themeFill="accent1" w:themeFillTint="66"/>
          </w:tcPr>
          <w:p w14:paraId="657E2E9D" w14:textId="79AD05F1" w:rsidR="00DB2166" w:rsidRPr="00DB2166" w:rsidRDefault="00DB2166" w:rsidP="00DB2166">
            <w:pPr>
              <w:jc w:val="center"/>
              <w:rPr>
                <w:b/>
                <w:bCs/>
              </w:rPr>
            </w:pPr>
            <w:r w:rsidRPr="00DB2166">
              <w:rPr>
                <w:b/>
                <w:bCs/>
              </w:rPr>
              <w:t>What has the impact been?</w:t>
            </w:r>
          </w:p>
        </w:tc>
      </w:tr>
      <w:tr w:rsidR="007B37BD" w14:paraId="6374101C" w14:textId="77777777" w:rsidTr="0095434C">
        <w:trPr>
          <w:trHeight w:val="496"/>
        </w:trPr>
        <w:tc>
          <w:tcPr>
            <w:tcW w:w="3823" w:type="dxa"/>
          </w:tcPr>
          <w:p w14:paraId="29AA0022" w14:textId="1DF72A8F" w:rsidR="007B37BD" w:rsidRDefault="00652439" w:rsidP="002A6A0F">
            <w:r w:rsidRPr="00652439">
              <w:rPr>
                <w:b/>
                <w:bCs/>
                <w:color w:val="ED7D31" w:themeColor="accent2"/>
              </w:rPr>
              <w:sym w:font="Wingdings" w:char="F0FC"/>
            </w:r>
            <w:r w:rsidRPr="00652439">
              <w:rPr>
                <w:b/>
                <w:bCs/>
                <w:color w:val="FF0000"/>
              </w:rPr>
              <w:sym w:font="Wingdings" w:char="F0FC"/>
            </w:r>
            <w:r w:rsidR="007B37BD">
              <w:t>Clear systems to support transitions and familiar routines</w:t>
            </w:r>
          </w:p>
        </w:tc>
        <w:tc>
          <w:tcPr>
            <w:tcW w:w="7512" w:type="dxa"/>
          </w:tcPr>
          <w:p w14:paraId="79D3E3CD" w14:textId="77777777" w:rsidR="007B37BD" w:rsidRPr="0095434C" w:rsidRDefault="007B37BD" w:rsidP="002A6A0F">
            <w:pPr>
              <w:pStyle w:val="ListParagraph"/>
              <w:numPr>
                <w:ilvl w:val="0"/>
                <w:numId w:val="7"/>
              </w:numPr>
              <w:rPr>
                <w:sz w:val="20"/>
                <w:szCs w:val="20"/>
              </w:rPr>
            </w:pPr>
            <w:r w:rsidRPr="0095434C">
              <w:rPr>
                <w:sz w:val="20"/>
                <w:szCs w:val="20"/>
              </w:rPr>
              <w:t>Regular reference made to class visual timetable.</w:t>
            </w:r>
          </w:p>
          <w:p w14:paraId="50D72C4D" w14:textId="77777777" w:rsidR="007B37BD" w:rsidRPr="0095434C" w:rsidRDefault="007B37BD" w:rsidP="002A6A0F">
            <w:pPr>
              <w:pStyle w:val="ListParagraph"/>
              <w:numPr>
                <w:ilvl w:val="0"/>
                <w:numId w:val="7"/>
              </w:numPr>
              <w:rPr>
                <w:sz w:val="20"/>
                <w:szCs w:val="20"/>
              </w:rPr>
            </w:pPr>
            <w:r w:rsidRPr="0095434C">
              <w:rPr>
                <w:sz w:val="20"/>
                <w:szCs w:val="20"/>
              </w:rPr>
              <w:t>Clear communication for an activity finishing and next lesson, activity or transition starting.</w:t>
            </w:r>
          </w:p>
          <w:p w14:paraId="3DB3D75E" w14:textId="61B2BA0E" w:rsidR="007B37BD" w:rsidRPr="0095434C" w:rsidRDefault="007B37BD" w:rsidP="002A6A0F">
            <w:pPr>
              <w:pStyle w:val="ListParagraph"/>
              <w:numPr>
                <w:ilvl w:val="0"/>
                <w:numId w:val="7"/>
              </w:numPr>
              <w:rPr>
                <w:sz w:val="20"/>
                <w:szCs w:val="20"/>
              </w:rPr>
            </w:pPr>
            <w:r w:rsidRPr="0095434C">
              <w:rPr>
                <w:sz w:val="20"/>
                <w:szCs w:val="20"/>
              </w:rPr>
              <w:t>Consistent strategy to gain attention ahead of communicating a transition e.g. hand up/ wiggle fingers/ clapping rhythm</w:t>
            </w:r>
            <w:r w:rsidR="0020311D" w:rsidRPr="0095434C">
              <w:rPr>
                <w:sz w:val="20"/>
                <w:szCs w:val="20"/>
              </w:rPr>
              <w:t>/song/timer</w:t>
            </w:r>
          </w:p>
        </w:tc>
        <w:tc>
          <w:tcPr>
            <w:tcW w:w="2835" w:type="dxa"/>
          </w:tcPr>
          <w:p w14:paraId="14A39ABD" w14:textId="06EE6F5C" w:rsidR="007B37BD" w:rsidRDefault="007B37BD" w:rsidP="002A6A0F"/>
        </w:tc>
      </w:tr>
      <w:tr w:rsidR="007B37BD" w14:paraId="1107DCA7" w14:textId="77777777" w:rsidTr="0095434C">
        <w:trPr>
          <w:trHeight w:val="758"/>
        </w:trPr>
        <w:tc>
          <w:tcPr>
            <w:tcW w:w="3823" w:type="dxa"/>
          </w:tcPr>
          <w:p w14:paraId="769AFF00" w14:textId="4D1A03AE" w:rsidR="007B37BD" w:rsidRDefault="00652439" w:rsidP="002A6A0F">
            <w:r w:rsidRPr="00652439">
              <w:rPr>
                <w:b/>
                <w:bCs/>
                <w:color w:val="ED7D31" w:themeColor="accent2"/>
              </w:rPr>
              <w:sym w:font="Wingdings" w:char="F0FC"/>
            </w:r>
            <w:r w:rsidR="004425DF" w:rsidRPr="00C75A05">
              <w:rPr>
                <w:b/>
                <w:bCs/>
                <w:color w:val="FF0000"/>
              </w:rPr>
              <w:sym w:font="Wingdings" w:char="F0FC"/>
            </w:r>
            <w:r w:rsidR="007B37BD">
              <w:t>Visuals references to support all classroom aspects at an appropriate comprehension level</w:t>
            </w:r>
          </w:p>
        </w:tc>
        <w:tc>
          <w:tcPr>
            <w:tcW w:w="7512" w:type="dxa"/>
          </w:tcPr>
          <w:p w14:paraId="3335945E" w14:textId="77777777" w:rsidR="007B37BD" w:rsidRPr="0095434C" w:rsidRDefault="007B37BD" w:rsidP="002A6A0F">
            <w:pPr>
              <w:pStyle w:val="ListParagraph"/>
              <w:numPr>
                <w:ilvl w:val="0"/>
                <w:numId w:val="8"/>
              </w:numPr>
              <w:rPr>
                <w:sz w:val="20"/>
                <w:szCs w:val="20"/>
              </w:rPr>
            </w:pPr>
            <w:r w:rsidRPr="0095434C">
              <w:rPr>
                <w:sz w:val="20"/>
                <w:szCs w:val="20"/>
              </w:rPr>
              <w:t>Specific learning areas labelled e.g. reading corner, quiet space, topic resources.</w:t>
            </w:r>
          </w:p>
          <w:p w14:paraId="2989AD3F" w14:textId="77777777" w:rsidR="007B37BD" w:rsidRPr="0095434C" w:rsidRDefault="007B37BD" w:rsidP="002A6A0F">
            <w:pPr>
              <w:pStyle w:val="ListParagraph"/>
              <w:numPr>
                <w:ilvl w:val="0"/>
                <w:numId w:val="8"/>
              </w:numPr>
              <w:rPr>
                <w:sz w:val="20"/>
                <w:szCs w:val="20"/>
              </w:rPr>
            </w:pPr>
            <w:r w:rsidRPr="0095434C">
              <w:rPr>
                <w:sz w:val="20"/>
                <w:szCs w:val="20"/>
              </w:rPr>
              <w:t>Hand washing/ lining up visual prompt posters.</w:t>
            </w:r>
          </w:p>
          <w:p w14:paraId="21C80E39" w14:textId="77777777" w:rsidR="007B37BD" w:rsidRPr="0095434C" w:rsidRDefault="007B37BD" w:rsidP="002A6A0F">
            <w:pPr>
              <w:pStyle w:val="ListParagraph"/>
              <w:numPr>
                <w:ilvl w:val="0"/>
                <w:numId w:val="8"/>
              </w:numPr>
              <w:rPr>
                <w:sz w:val="20"/>
                <w:szCs w:val="20"/>
              </w:rPr>
            </w:pPr>
            <w:r w:rsidRPr="0095434C">
              <w:rPr>
                <w:sz w:val="20"/>
                <w:szCs w:val="20"/>
              </w:rPr>
              <w:t>Stop signs on fire exists, adult cupboards or other non- accessible areas.</w:t>
            </w:r>
          </w:p>
          <w:p w14:paraId="12D66D5D" w14:textId="42FCB171" w:rsidR="007B37BD" w:rsidRPr="0095434C" w:rsidRDefault="0020311D" w:rsidP="002A6A0F">
            <w:pPr>
              <w:pStyle w:val="ListParagraph"/>
              <w:numPr>
                <w:ilvl w:val="0"/>
                <w:numId w:val="8"/>
              </w:numPr>
              <w:rPr>
                <w:sz w:val="20"/>
                <w:szCs w:val="20"/>
              </w:rPr>
            </w:pPr>
            <w:r w:rsidRPr="0095434C">
              <w:rPr>
                <w:sz w:val="20"/>
                <w:szCs w:val="20"/>
              </w:rPr>
              <w:t>How many children in an area system</w:t>
            </w:r>
          </w:p>
        </w:tc>
        <w:tc>
          <w:tcPr>
            <w:tcW w:w="2835" w:type="dxa"/>
          </w:tcPr>
          <w:p w14:paraId="52BF540A" w14:textId="77777777" w:rsidR="007B37BD" w:rsidRDefault="007B37BD" w:rsidP="002A6A0F"/>
        </w:tc>
      </w:tr>
      <w:tr w:rsidR="007B37BD" w14:paraId="3BF33B89" w14:textId="77777777" w:rsidTr="0095434C">
        <w:trPr>
          <w:trHeight w:val="758"/>
        </w:trPr>
        <w:tc>
          <w:tcPr>
            <w:tcW w:w="3823" w:type="dxa"/>
          </w:tcPr>
          <w:p w14:paraId="75A89E0C" w14:textId="5F38CCBA" w:rsidR="007B37BD" w:rsidRDefault="00652439" w:rsidP="002A6A0F">
            <w:r w:rsidRPr="00652439">
              <w:rPr>
                <w:b/>
                <w:bCs/>
                <w:color w:val="ED7D31" w:themeColor="accent2"/>
              </w:rPr>
              <w:sym w:font="Wingdings" w:char="F0FC"/>
            </w:r>
            <w:r w:rsidRPr="00652439">
              <w:rPr>
                <w:b/>
                <w:bCs/>
                <w:color w:val="FF0000"/>
              </w:rPr>
              <w:sym w:font="Wingdings" w:char="F0FC"/>
            </w:r>
            <w:r w:rsidR="007B37BD">
              <w:t>An emotional check in system with the language embedded in everyday conversations</w:t>
            </w:r>
          </w:p>
          <w:p w14:paraId="60C43914" w14:textId="77777777" w:rsidR="007B37BD" w:rsidRDefault="007B37BD" w:rsidP="000C70C6"/>
          <w:p w14:paraId="62CEA4E2" w14:textId="77777777" w:rsidR="007B37BD" w:rsidRDefault="007B37BD" w:rsidP="000C70C6"/>
          <w:p w14:paraId="2C984C2B" w14:textId="42DA228E" w:rsidR="007B37BD" w:rsidRPr="000C70C6" w:rsidRDefault="007B37BD" w:rsidP="000C70C6">
            <w:pPr>
              <w:jc w:val="right"/>
            </w:pPr>
          </w:p>
        </w:tc>
        <w:tc>
          <w:tcPr>
            <w:tcW w:w="7512" w:type="dxa"/>
          </w:tcPr>
          <w:p w14:paraId="69AECDD5" w14:textId="77777777" w:rsidR="007B37BD" w:rsidRPr="0095434C" w:rsidRDefault="007B37BD" w:rsidP="002A6A0F">
            <w:pPr>
              <w:pStyle w:val="ListParagraph"/>
              <w:numPr>
                <w:ilvl w:val="0"/>
                <w:numId w:val="9"/>
              </w:numPr>
              <w:rPr>
                <w:sz w:val="20"/>
                <w:szCs w:val="20"/>
              </w:rPr>
            </w:pPr>
            <w:r w:rsidRPr="0095434C">
              <w:rPr>
                <w:sz w:val="20"/>
                <w:szCs w:val="20"/>
              </w:rPr>
              <w:t>Smiley face system.</w:t>
            </w:r>
          </w:p>
          <w:p w14:paraId="721B57C4" w14:textId="77777777" w:rsidR="007B37BD" w:rsidRPr="0095434C" w:rsidRDefault="007B37BD" w:rsidP="002A6A0F">
            <w:pPr>
              <w:pStyle w:val="ListParagraph"/>
              <w:numPr>
                <w:ilvl w:val="0"/>
                <w:numId w:val="9"/>
              </w:numPr>
              <w:rPr>
                <w:sz w:val="20"/>
                <w:szCs w:val="20"/>
              </w:rPr>
            </w:pPr>
            <w:r w:rsidRPr="0095434C">
              <w:rPr>
                <w:sz w:val="20"/>
                <w:szCs w:val="20"/>
              </w:rPr>
              <w:t>System based on text a e.g. “The Colour Monster” by Anna Llenas.</w:t>
            </w:r>
          </w:p>
          <w:p w14:paraId="1E02EFEB" w14:textId="77777777" w:rsidR="007B37BD" w:rsidRPr="0095434C" w:rsidRDefault="007B37BD" w:rsidP="002A6A0F">
            <w:pPr>
              <w:pStyle w:val="ListParagraph"/>
              <w:numPr>
                <w:ilvl w:val="0"/>
                <w:numId w:val="9"/>
              </w:numPr>
              <w:rPr>
                <w:sz w:val="20"/>
                <w:szCs w:val="20"/>
              </w:rPr>
            </w:pPr>
            <w:r w:rsidRPr="0095434C">
              <w:rPr>
                <w:sz w:val="20"/>
                <w:szCs w:val="20"/>
              </w:rPr>
              <w:t>Named lolly stick placed in labelled emotion jar.</w:t>
            </w:r>
          </w:p>
          <w:p w14:paraId="71BACBA2" w14:textId="77777777" w:rsidR="007B37BD" w:rsidRPr="0095434C" w:rsidRDefault="007B37BD" w:rsidP="002A6A0F">
            <w:pPr>
              <w:pStyle w:val="ListParagraph"/>
              <w:numPr>
                <w:ilvl w:val="0"/>
                <w:numId w:val="9"/>
              </w:numPr>
              <w:rPr>
                <w:sz w:val="20"/>
                <w:szCs w:val="20"/>
              </w:rPr>
            </w:pPr>
            <w:r w:rsidRPr="0095434C">
              <w:rPr>
                <w:sz w:val="20"/>
                <w:szCs w:val="20"/>
              </w:rPr>
              <w:t>Adults remind children to “check in” as part of morning and afternoon routine.</w:t>
            </w:r>
          </w:p>
          <w:p w14:paraId="3C97E375" w14:textId="2EC848AD" w:rsidR="007B37BD" w:rsidRPr="0095434C" w:rsidRDefault="0020311D" w:rsidP="002A6A0F">
            <w:pPr>
              <w:pStyle w:val="ListParagraph"/>
              <w:numPr>
                <w:ilvl w:val="0"/>
                <w:numId w:val="9"/>
              </w:numPr>
              <w:rPr>
                <w:sz w:val="20"/>
                <w:szCs w:val="20"/>
              </w:rPr>
            </w:pPr>
            <w:r w:rsidRPr="0095434C">
              <w:rPr>
                <w:sz w:val="20"/>
                <w:szCs w:val="20"/>
              </w:rPr>
              <w:t>Colour coded/</w:t>
            </w:r>
            <w:r w:rsidR="00FB65FF" w:rsidRPr="0095434C">
              <w:rPr>
                <w:sz w:val="20"/>
                <w:szCs w:val="20"/>
              </w:rPr>
              <w:t>number-based</w:t>
            </w:r>
            <w:r w:rsidRPr="0095434C">
              <w:rPr>
                <w:sz w:val="20"/>
                <w:szCs w:val="20"/>
              </w:rPr>
              <w:t xml:space="preserve"> system.</w:t>
            </w:r>
          </w:p>
          <w:p w14:paraId="2622E7B6" w14:textId="5DD7C819" w:rsidR="0020311D" w:rsidRPr="0095434C" w:rsidRDefault="0020311D" w:rsidP="002A6A0F">
            <w:pPr>
              <w:pStyle w:val="ListParagraph"/>
              <w:numPr>
                <w:ilvl w:val="0"/>
                <w:numId w:val="9"/>
              </w:numPr>
              <w:rPr>
                <w:sz w:val="20"/>
                <w:szCs w:val="20"/>
              </w:rPr>
            </w:pPr>
            <w:r w:rsidRPr="0095434C">
              <w:rPr>
                <w:sz w:val="20"/>
                <w:szCs w:val="20"/>
              </w:rPr>
              <w:t>Linking of labelling an emotion to the bodily feeling and scenario.</w:t>
            </w:r>
          </w:p>
        </w:tc>
        <w:tc>
          <w:tcPr>
            <w:tcW w:w="2835" w:type="dxa"/>
          </w:tcPr>
          <w:p w14:paraId="77DEDDE3" w14:textId="77777777" w:rsidR="007B37BD" w:rsidRDefault="007B37BD" w:rsidP="002A6A0F"/>
        </w:tc>
      </w:tr>
      <w:tr w:rsidR="007B37BD" w14:paraId="752D6DFA" w14:textId="77777777" w:rsidTr="0095434C">
        <w:trPr>
          <w:trHeight w:val="1002"/>
        </w:trPr>
        <w:tc>
          <w:tcPr>
            <w:tcW w:w="3823" w:type="dxa"/>
          </w:tcPr>
          <w:p w14:paraId="7D3FCA29" w14:textId="3DE3DA49" w:rsidR="007B37BD" w:rsidRDefault="00652439" w:rsidP="002A6A0F">
            <w:r w:rsidRPr="00652439">
              <w:rPr>
                <w:b/>
                <w:bCs/>
                <w:color w:val="ED7D31" w:themeColor="accent2"/>
              </w:rPr>
              <w:sym w:font="Wingdings" w:char="F0FC"/>
            </w:r>
            <w:r w:rsidR="007B37BD">
              <w:t>Consideration given to sensory aspects of the environment</w:t>
            </w:r>
          </w:p>
          <w:p w14:paraId="133B8D78" w14:textId="456C7714" w:rsidR="007B37BD" w:rsidRPr="00E52668" w:rsidRDefault="007B37BD" w:rsidP="00E52668">
            <w:pPr>
              <w:tabs>
                <w:tab w:val="left" w:pos="3550"/>
              </w:tabs>
            </w:pPr>
            <w:r>
              <w:tab/>
            </w:r>
          </w:p>
        </w:tc>
        <w:tc>
          <w:tcPr>
            <w:tcW w:w="7512" w:type="dxa"/>
          </w:tcPr>
          <w:p w14:paraId="6EAEF0C2" w14:textId="77777777" w:rsidR="007B37BD" w:rsidRPr="0095434C" w:rsidRDefault="007B37BD" w:rsidP="002A6A0F">
            <w:pPr>
              <w:pStyle w:val="ListParagraph"/>
              <w:numPr>
                <w:ilvl w:val="0"/>
                <w:numId w:val="10"/>
              </w:numPr>
              <w:rPr>
                <w:sz w:val="20"/>
                <w:szCs w:val="20"/>
              </w:rPr>
            </w:pPr>
            <w:r w:rsidRPr="0095434C">
              <w:rPr>
                <w:sz w:val="20"/>
                <w:szCs w:val="20"/>
              </w:rPr>
              <w:t>Systems in place to minimise effects of “crush” and noisier times.</w:t>
            </w:r>
          </w:p>
          <w:p w14:paraId="1D2311FF" w14:textId="77777777" w:rsidR="001E02FC" w:rsidRDefault="007B37BD" w:rsidP="001E02FC">
            <w:pPr>
              <w:pStyle w:val="ListParagraph"/>
              <w:numPr>
                <w:ilvl w:val="0"/>
                <w:numId w:val="10"/>
              </w:numPr>
              <w:rPr>
                <w:sz w:val="20"/>
                <w:szCs w:val="20"/>
              </w:rPr>
            </w:pPr>
            <w:r w:rsidRPr="0095434C">
              <w:rPr>
                <w:sz w:val="20"/>
                <w:szCs w:val="20"/>
              </w:rPr>
              <w:t>Seating positions e.g. being aware of potential distractions such as open windows, sunlight and peer relationships.</w:t>
            </w:r>
          </w:p>
          <w:p w14:paraId="48573D35" w14:textId="5507141E" w:rsidR="001E02FC" w:rsidRPr="001E02FC" w:rsidRDefault="001E02FC" w:rsidP="001E02FC">
            <w:pPr>
              <w:pStyle w:val="ListParagraph"/>
              <w:numPr>
                <w:ilvl w:val="0"/>
                <w:numId w:val="10"/>
              </w:numPr>
              <w:rPr>
                <w:sz w:val="20"/>
                <w:szCs w:val="20"/>
              </w:rPr>
            </w:pPr>
            <w:r>
              <w:rPr>
                <w:sz w:val="20"/>
                <w:szCs w:val="20"/>
              </w:rPr>
              <w:t>Adjustments made for touch, noise or smell sensitivities in DT lessons.</w:t>
            </w:r>
          </w:p>
        </w:tc>
        <w:tc>
          <w:tcPr>
            <w:tcW w:w="2835" w:type="dxa"/>
          </w:tcPr>
          <w:p w14:paraId="4255EB37" w14:textId="77777777" w:rsidR="007B37BD" w:rsidRDefault="007B37BD" w:rsidP="002A6A0F"/>
        </w:tc>
      </w:tr>
      <w:tr w:rsidR="007B37BD" w14:paraId="7A7C3AEB" w14:textId="77777777" w:rsidTr="0095434C">
        <w:trPr>
          <w:trHeight w:val="749"/>
        </w:trPr>
        <w:tc>
          <w:tcPr>
            <w:tcW w:w="3823" w:type="dxa"/>
          </w:tcPr>
          <w:p w14:paraId="5574D98C" w14:textId="6939F4F0" w:rsidR="007B37BD" w:rsidRDefault="00652439" w:rsidP="002A6A0F">
            <w:r w:rsidRPr="00652439">
              <w:rPr>
                <w:b/>
                <w:bCs/>
                <w:color w:val="ED7D31" w:themeColor="accent2"/>
              </w:rPr>
              <w:sym w:font="Wingdings" w:char="F0FC"/>
            </w:r>
            <w:r w:rsidR="007B37BD">
              <w:t>Environmental signage of whole school</w:t>
            </w:r>
          </w:p>
          <w:p w14:paraId="7ECABA67" w14:textId="6D211DC5" w:rsidR="007B37BD" w:rsidRPr="00E52668" w:rsidRDefault="007B37BD" w:rsidP="00E52668">
            <w:pPr>
              <w:tabs>
                <w:tab w:val="left" w:pos="3570"/>
              </w:tabs>
            </w:pPr>
            <w:r>
              <w:tab/>
            </w:r>
          </w:p>
        </w:tc>
        <w:tc>
          <w:tcPr>
            <w:tcW w:w="7512" w:type="dxa"/>
          </w:tcPr>
          <w:p w14:paraId="425E0CDC" w14:textId="0E5AB302" w:rsidR="007B37BD" w:rsidRPr="0095434C" w:rsidRDefault="007B37BD" w:rsidP="002A6A0F">
            <w:pPr>
              <w:pStyle w:val="ListParagraph"/>
              <w:numPr>
                <w:ilvl w:val="0"/>
                <w:numId w:val="12"/>
              </w:numPr>
              <w:rPr>
                <w:sz w:val="20"/>
                <w:szCs w:val="20"/>
              </w:rPr>
            </w:pPr>
            <w:r w:rsidRPr="0095434C">
              <w:rPr>
                <w:sz w:val="20"/>
                <w:szCs w:val="20"/>
              </w:rPr>
              <w:t>Photos of staff on doors and names, subject areas, office areas, no-go areas indicated by symbol and word.</w:t>
            </w:r>
          </w:p>
          <w:p w14:paraId="2D202F1C" w14:textId="77777777" w:rsidR="007B37BD" w:rsidRPr="0095434C" w:rsidRDefault="007B37BD" w:rsidP="002A6A0F">
            <w:pPr>
              <w:pStyle w:val="ListParagraph"/>
              <w:numPr>
                <w:ilvl w:val="0"/>
                <w:numId w:val="12"/>
              </w:numPr>
              <w:rPr>
                <w:sz w:val="20"/>
                <w:szCs w:val="20"/>
              </w:rPr>
            </w:pPr>
            <w:r w:rsidRPr="0095434C">
              <w:rPr>
                <w:sz w:val="20"/>
                <w:szCs w:val="20"/>
              </w:rPr>
              <w:t>Specific rooms clearly labelled.</w:t>
            </w:r>
          </w:p>
          <w:p w14:paraId="3A51E403" w14:textId="02805C41" w:rsidR="007B37BD" w:rsidRPr="0095434C" w:rsidRDefault="007B37BD" w:rsidP="0020311D">
            <w:pPr>
              <w:pStyle w:val="ListParagraph"/>
              <w:numPr>
                <w:ilvl w:val="0"/>
                <w:numId w:val="12"/>
              </w:numPr>
              <w:rPr>
                <w:sz w:val="20"/>
                <w:szCs w:val="20"/>
              </w:rPr>
            </w:pPr>
            <w:r w:rsidRPr="0095434C">
              <w:rPr>
                <w:sz w:val="20"/>
                <w:szCs w:val="20"/>
              </w:rPr>
              <w:t>Adult/ child toilets clearly labelled.</w:t>
            </w:r>
          </w:p>
        </w:tc>
        <w:tc>
          <w:tcPr>
            <w:tcW w:w="2835" w:type="dxa"/>
          </w:tcPr>
          <w:p w14:paraId="4332448A" w14:textId="5054A72D" w:rsidR="007B37BD" w:rsidRDefault="007B37BD" w:rsidP="002A6A0F"/>
        </w:tc>
      </w:tr>
      <w:tr w:rsidR="007B37BD" w14:paraId="591E149B" w14:textId="77777777" w:rsidTr="0095434C">
        <w:trPr>
          <w:trHeight w:val="749"/>
        </w:trPr>
        <w:tc>
          <w:tcPr>
            <w:tcW w:w="3823" w:type="dxa"/>
          </w:tcPr>
          <w:p w14:paraId="0AED52F1" w14:textId="576657A4" w:rsidR="007B37BD" w:rsidRPr="005B0303" w:rsidRDefault="0020311D" w:rsidP="002A6A0F">
            <w:pPr>
              <w:rPr>
                <w:color w:val="00B050"/>
              </w:rPr>
            </w:pPr>
            <w:r w:rsidRPr="00652439">
              <w:rPr>
                <w:b/>
                <w:bCs/>
                <w:color w:val="4472C4" w:themeColor="accent1"/>
              </w:rPr>
              <w:sym w:font="Wingdings" w:char="F0FC"/>
            </w:r>
            <w:r w:rsidRPr="00652439">
              <w:rPr>
                <w:b/>
                <w:bCs/>
                <w:color w:val="ED7D31" w:themeColor="accent2"/>
              </w:rPr>
              <w:sym w:font="Wingdings" w:char="F0FC"/>
            </w:r>
            <w:r w:rsidRPr="00652439">
              <w:rPr>
                <w:b/>
                <w:bCs/>
                <w:color w:val="FF0000"/>
              </w:rPr>
              <w:sym w:font="Wingdings" w:char="F0FC"/>
            </w:r>
            <w:r w:rsidR="007B37BD" w:rsidRPr="007A37F6">
              <w:t>Structuring learning</w:t>
            </w:r>
          </w:p>
        </w:tc>
        <w:tc>
          <w:tcPr>
            <w:tcW w:w="7512" w:type="dxa"/>
          </w:tcPr>
          <w:p w14:paraId="4D93ADE8" w14:textId="469B4CC2" w:rsidR="007B37BD" w:rsidRPr="0095434C" w:rsidRDefault="007B37BD" w:rsidP="00652439">
            <w:pPr>
              <w:pStyle w:val="ListParagraph"/>
              <w:numPr>
                <w:ilvl w:val="0"/>
                <w:numId w:val="12"/>
              </w:numPr>
              <w:rPr>
                <w:sz w:val="20"/>
                <w:szCs w:val="20"/>
              </w:rPr>
            </w:pPr>
            <w:r w:rsidRPr="0095434C">
              <w:rPr>
                <w:sz w:val="20"/>
                <w:szCs w:val="20"/>
              </w:rPr>
              <w:t>Task agendas</w:t>
            </w:r>
          </w:p>
          <w:p w14:paraId="35838CA0" w14:textId="77777777" w:rsidR="007B37BD" w:rsidRPr="0095434C" w:rsidRDefault="007B37BD" w:rsidP="00652439">
            <w:pPr>
              <w:pStyle w:val="ListParagraph"/>
              <w:numPr>
                <w:ilvl w:val="0"/>
                <w:numId w:val="12"/>
              </w:numPr>
              <w:rPr>
                <w:sz w:val="20"/>
                <w:szCs w:val="20"/>
              </w:rPr>
            </w:pPr>
            <w:r w:rsidRPr="0095434C">
              <w:rPr>
                <w:sz w:val="20"/>
                <w:szCs w:val="20"/>
              </w:rPr>
              <w:t>Model the process, show what finished looks like</w:t>
            </w:r>
          </w:p>
          <w:p w14:paraId="12B6ACD2" w14:textId="06F34D3F" w:rsidR="007B37BD" w:rsidRPr="0095434C" w:rsidRDefault="007B37BD" w:rsidP="00652439">
            <w:pPr>
              <w:pStyle w:val="ListParagraph"/>
              <w:numPr>
                <w:ilvl w:val="0"/>
                <w:numId w:val="12"/>
              </w:numPr>
              <w:rPr>
                <w:sz w:val="20"/>
                <w:szCs w:val="20"/>
              </w:rPr>
            </w:pPr>
            <w:r w:rsidRPr="0095434C">
              <w:rPr>
                <w:sz w:val="20"/>
                <w:szCs w:val="20"/>
              </w:rPr>
              <w:t>Writing frameworks</w:t>
            </w:r>
            <w:r w:rsidR="0020311D" w:rsidRPr="0095434C">
              <w:rPr>
                <w:sz w:val="20"/>
                <w:szCs w:val="20"/>
              </w:rPr>
              <w:t>/graphic organisers</w:t>
            </w:r>
            <w:r w:rsidRPr="0095434C">
              <w:rPr>
                <w:sz w:val="20"/>
                <w:szCs w:val="20"/>
              </w:rPr>
              <w:t xml:space="preserve"> – where to start, how to proceed, where to write, the pathway to completion.</w:t>
            </w:r>
          </w:p>
          <w:p w14:paraId="0510ADD7" w14:textId="498B272C" w:rsidR="007B37BD" w:rsidRPr="0095434C" w:rsidRDefault="007B37BD" w:rsidP="00652439">
            <w:pPr>
              <w:pStyle w:val="ListParagraph"/>
              <w:numPr>
                <w:ilvl w:val="0"/>
                <w:numId w:val="12"/>
              </w:numPr>
              <w:rPr>
                <w:sz w:val="20"/>
                <w:szCs w:val="20"/>
              </w:rPr>
            </w:pPr>
            <w:r w:rsidRPr="0095434C">
              <w:rPr>
                <w:sz w:val="20"/>
                <w:szCs w:val="20"/>
              </w:rPr>
              <w:t>Adjust outcome expectations to create success</w:t>
            </w:r>
          </w:p>
          <w:p w14:paraId="6BE9B166" w14:textId="4D525618" w:rsidR="007B37BD" w:rsidRPr="0095434C" w:rsidRDefault="007B37BD" w:rsidP="00652439">
            <w:pPr>
              <w:pStyle w:val="ListParagraph"/>
              <w:numPr>
                <w:ilvl w:val="0"/>
                <w:numId w:val="12"/>
              </w:numPr>
              <w:rPr>
                <w:sz w:val="20"/>
                <w:szCs w:val="20"/>
              </w:rPr>
            </w:pPr>
            <w:r w:rsidRPr="0095434C">
              <w:rPr>
                <w:sz w:val="20"/>
                <w:szCs w:val="20"/>
              </w:rPr>
              <w:t>Remove the need for unnecessary copying or writing</w:t>
            </w:r>
          </w:p>
          <w:p w14:paraId="642039C9" w14:textId="77777777" w:rsidR="007B37BD" w:rsidRPr="0095434C" w:rsidRDefault="007B37BD" w:rsidP="00652439">
            <w:pPr>
              <w:pStyle w:val="ListParagraph"/>
              <w:numPr>
                <w:ilvl w:val="0"/>
                <w:numId w:val="12"/>
              </w:numPr>
              <w:rPr>
                <w:sz w:val="20"/>
                <w:szCs w:val="20"/>
              </w:rPr>
            </w:pPr>
            <w:r w:rsidRPr="0095434C">
              <w:rPr>
                <w:sz w:val="20"/>
                <w:szCs w:val="20"/>
              </w:rPr>
              <w:t>Provide visual reference material to prompt ideas and link thoughts and ideas.</w:t>
            </w:r>
          </w:p>
          <w:p w14:paraId="4355BB92" w14:textId="73F566D3" w:rsidR="00652439" w:rsidRPr="0095434C" w:rsidRDefault="00652439" w:rsidP="00652439">
            <w:pPr>
              <w:pStyle w:val="ListParagraph"/>
              <w:numPr>
                <w:ilvl w:val="0"/>
                <w:numId w:val="12"/>
              </w:numPr>
              <w:rPr>
                <w:sz w:val="20"/>
                <w:szCs w:val="20"/>
              </w:rPr>
            </w:pPr>
            <w:r w:rsidRPr="0095434C">
              <w:rPr>
                <w:sz w:val="20"/>
                <w:szCs w:val="20"/>
              </w:rPr>
              <w:t>Working walls display previous learning and active links are made prior to continued learning.</w:t>
            </w:r>
          </w:p>
          <w:p w14:paraId="7F477AE8" w14:textId="5ABF53E0" w:rsidR="00652439" w:rsidRPr="0095434C" w:rsidRDefault="006568A3" w:rsidP="0095434C">
            <w:pPr>
              <w:pStyle w:val="ListParagraph"/>
              <w:numPr>
                <w:ilvl w:val="0"/>
                <w:numId w:val="12"/>
              </w:numPr>
              <w:rPr>
                <w:sz w:val="20"/>
                <w:szCs w:val="20"/>
              </w:rPr>
            </w:pPr>
            <w:r w:rsidRPr="0095434C">
              <w:rPr>
                <w:sz w:val="20"/>
                <w:szCs w:val="20"/>
              </w:rPr>
              <w:t>Signal clear end of a lesson and switch to new lesson/topic.</w:t>
            </w:r>
          </w:p>
        </w:tc>
        <w:tc>
          <w:tcPr>
            <w:tcW w:w="2835" w:type="dxa"/>
          </w:tcPr>
          <w:p w14:paraId="49D7066B" w14:textId="41732C9E" w:rsidR="007B37BD" w:rsidRDefault="007B37BD" w:rsidP="002A6A0F"/>
        </w:tc>
      </w:tr>
      <w:tr w:rsidR="000C0245" w14:paraId="42CCDC44" w14:textId="77777777" w:rsidTr="008E3ED2">
        <w:trPr>
          <w:trHeight w:val="590"/>
        </w:trPr>
        <w:tc>
          <w:tcPr>
            <w:tcW w:w="14170" w:type="dxa"/>
            <w:gridSpan w:val="3"/>
          </w:tcPr>
          <w:p w14:paraId="4293FFE5" w14:textId="1A267788" w:rsidR="00207E56" w:rsidRPr="00207E56" w:rsidRDefault="000C0245" w:rsidP="0095434C">
            <w:pPr>
              <w:rPr>
                <w:rFonts w:eastAsia="Times New Roman" w:cstheme="minorHAnsi"/>
                <w:sz w:val="20"/>
                <w:szCs w:val="20"/>
                <w:lang w:eastAsia="en-GB"/>
              </w:rPr>
            </w:pPr>
            <w:r w:rsidRPr="00652439">
              <w:rPr>
                <w:b/>
                <w:bCs/>
                <w:color w:val="4472C4" w:themeColor="accent1"/>
              </w:rPr>
              <w:sym w:font="Wingdings" w:char="F0FC"/>
            </w:r>
            <w:r w:rsidRPr="002E74DD">
              <w:rPr>
                <w:rFonts w:eastAsia="Times New Roman" w:cstheme="minorHAnsi"/>
                <w:b/>
                <w:bCs/>
                <w:sz w:val="20"/>
                <w:szCs w:val="20"/>
                <w:lang w:eastAsia="en-GB"/>
              </w:rPr>
              <w:t>We also recommend that a one-page profile is completed.   This could include strengths, what helps, what triggers, what motivates and special interests.  Please include the child’s voice in creating this profile either through direct input or observation by those that know the young person well</w:t>
            </w:r>
          </w:p>
        </w:tc>
      </w:tr>
    </w:tbl>
    <w:p w14:paraId="5A02728D" w14:textId="59DAB0B9" w:rsidR="00AF31C7" w:rsidRPr="0033515F" w:rsidRDefault="00AF31C7"/>
    <w:sectPr w:rsidR="00AF31C7" w:rsidRPr="0033515F" w:rsidSect="008D3CD1">
      <w:footerReference w:type="default" r:id="rId9"/>
      <w:pgSz w:w="16838" w:h="11906" w:orient="landscape"/>
      <w:pgMar w:top="426" w:right="1080" w:bottom="28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C6C0" w14:textId="77777777" w:rsidR="003973A5" w:rsidRDefault="003973A5" w:rsidP="004A0C1D">
      <w:pPr>
        <w:spacing w:after="0" w:line="240" w:lineRule="auto"/>
      </w:pPr>
      <w:r>
        <w:separator/>
      </w:r>
    </w:p>
  </w:endnote>
  <w:endnote w:type="continuationSeparator" w:id="0">
    <w:p w14:paraId="237C1424" w14:textId="77777777" w:rsidR="003973A5" w:rsidRDefault="003973A5" w:rsidP="004A0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704E" w14:textId="77777777" w:rsidR="007F7417" w:rsidRDefault="007F7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C188" w14:textId="77777777" w:rsidR="003973A5" w:rsidRDefault="003973A5" w:rsidP="004A0C1D">
      <w:pPr>
        <w:spacing w:after="0" w:line="240" w:lineRule="auto"/>
      </w:pPr>
      <w:r>
        <w:separator/>
      </w:r>
    </w:p>
  </w:footnote>
  <w:footnote w:type="continuationSeparator" w:id="0">
    <w:p w14:paraId="50F9FE70" w14:textId="77777777" w:rsidR="003973A5" w:rsidRDefault="003973A5" w:rsidP="004A0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3EBD"/>
    <w:multiLevelType w:val="hybridMultilevel"/>
    <w:tmpl w:val="DC44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65003"/>
    <w:multiLevelType w:val="hybridMultilevel"/>
    <w:tmpl w:val="B09C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13459"/>
    <w:multiLevelType w:val="hybridMultilevel"/>
    <w:tmpl w:val="F260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6374E"/>
    <w:multiLevelType w:val="hybridMultilevel"/>
    <w:tmpl w:val="D7E27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45B15"/>
    <w:multiLevelType w:val="hybridMultilevel"/>
    <w:tmpl w:val="2182F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76592"/>
    <w:multiLevelType w:val="hybridMultilevel"/>
    <w:tmpl w:val="DD12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06FB8"/>
    <w:multiLevelType w:val="hybridMultilevel"/>
    <w:tmpl w:val="308A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6692"/>
    <w:multiLevelType w:val="hybridMultilevel"/>
    <w:tmpl w:val="22AED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F13D3"/>
    <w:multiLevelType w:val="hybridMultilevel"/>
    <w:tmpl w:val="C492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756B7"/>
    <w:multiLevelType w:val="hybridMultilevel"/>
    <w:tmpl w:val="F6E44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D1B91"/>
    <w:multiLevelType w:val="hybridMultilevel"/>
    <w:tmpl w:val="981E4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65CDA"/>
    <w:multiLevelType w:val="hybridMultilevel"/>
    <w:tmpl w:val="B830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B3F7D"/>
    <w:multiLevelType w:val="hybridMultilevel"/>
    <w:tmpl w:val="7DE8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6E2110"/>
    <w:multiLevelType w:val="hybridMultilevel"/>
    <w:tmpl w:val="0344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8614C"/>
    <w:multiLevelType w:val="hybridMultilevel"/>
    <w:tmpl w:val="9D60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E191F"/>
    <w:multiLevelType w:val="hybridMultilevel"/>
    <w:tmpl w:val="D6F8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435DD"/>
    <w:multiLevelType w:val="hybridMultilevel"/>
    <w:tmpl w:val="1BE21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982695"/>
    <w:multiLevelType w:val="hybridMultilevel"/>
    <w:tmpl w:val="CCB2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352ADD"/>
    <w:multiLevelType w:val="hybridMultilevel"/>
    <w:tmpl w:val="33B41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A6FD8"/>
    <w:multiLevelType w:val="hybridMultilevel"/>
    <w:tmpl w:val="003C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7E433C"/>
    <w:multiLevelType w:val="hybridMultilevel"/>
    <w:tmpl w:val="2DB0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65EFF"/>
    <w:multiLevelType w:val="hybridMultilevel"/>
    <w:tmpl w:val="4C803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452EF8"/>
    <w:multiLevelType w:val="hybridMultilevel"/>
    <w:tmpl w:val="1B3E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71AF0"/>
    <w:multiLevelType w:val="multilevel"/>
    <w:tmpl w:val="62EE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526486"/>
    <w:multiLevelType w:val="hybridMultilevel"/>
    <w:tmpl w:val="6D8E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752333"/>
    <w:multiLevelType w:val="multilevel"/>
    <w:tmpl w:val="125A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0D6AF7"/>
    <w:multiLevelType w:val="hybridMultilevel"/>
    <w:tmpl w:val="CB1C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5C36CC"/>
    <w:multiLevelType w:val="hybridMultilevel"/>
    <w:tmpl w:val="2AA6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22456B"/>
    <w:multiLevelType w:val="hybridMultilevel"/>
    <w:tmpl w:val="9FBC8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4E5108"/>
    <w:multiLevelType w:val="hybridMultilevel"/>
    <w:tmpl w:val="B696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1E7290"/>
    <w:multiLevelType w:val="multilevel"/>
    <w:tmpl w:val="C048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9067641">
    <w:abstractNumId w:val="26"/>
  </w:num>
  <w:num w:numId="2" w16cid:durableId="434324180">
    <w:abstractNumId w:val="16"/>
  </w:num>
  <w:num w:numId="3" w16cid:durableId="979727653">
    <w:abstractNumId w:val="2"/>
  </w:num>
  <w:num w:numId="4" w16cid:durableId="332611291">
    <w:abstractNumId w:val="4"/>
  </w:num>
  <w:num w:numId="5" w16cid:durableId="1168639676">
    <w:abstractNumId w:val="5"/>
  </w:num>
  <w:num w:numId="6" w16cid:durableId="1595045247">
    <w:abstractNumId w:val="1"/>
  </w:num>
  <w:num w:numId="7" w16cid:durableId="1462383566">
    <w:abstractNumId w:val="21"/>
  </w:num>
  <w:num w:numId="8" w16cid:durableId="2015911183">
    <w:abstractNumId w:val="19"/>
  </w:num>
  <w:num w:numId="9" w16cid:durableId="252054717">
    <w:abstractNumId w:val="3"/>
  </w:num>
  <w:num w:numId="10" w16cid:durableId="729812395">
    <w:abstractNumId w:val="0"/>
  </w:num>
  <w:num w:numId="11" w16cid:durableId="820926397">
    <w:abstractNumId w:val="17"/>
  </w:num>
  <w:num w:numId="12" w16cid:durableId="265576925">
    <w:abstractNumId w:val="15"/>
  </w:num>
  <w:num w:numId="13" w16cid:durableId="1454249609">
    <w:abstractNumId w:val="10"/>
  </w:num>
  <w:num w:numId="14" w16cid:durableId="776174454">
    <w:abstractNumId w:val="27"/>
  </w:num>
  <w:num w:numId="15" w16cid:durableId="727192374">
    <w:abstractNumId w:val="13"/>
  </w:num>
  <w:num w:numId="16" w16cid:durableId="1730231406">
    <w:abstractNumId w:val="12"/>
  </w:num>
  <w:num w:numId="17" w16cid:durableId="1722753484">
    <w:abstractNumId w:val="14"/>
  </w:num>
  <w:num w:numId="18" w16cid:durableId="1497573679">
    <w:abstractNumId w:val="22"/>
  </w:num>
  <w:num w:numId="19" w16cid:durableId="1821266775">
    <w:abstractNumId w:val="6"/>
  </w:num>
  <w:num w:numId="20" w16cid:durableId="488404774">
    <w:abstractNumId w:val="20"/>
  </w:num>
  <w:num w:numId="21" w16cid:durableId="537157583">
    <w:abstractNumId w:val="8"/>
  </w:num>
  <w:num w:numId="22" w16cid:durableId="751120995">
    <w:abstractNumId w:val="18"/>
  </w:num>
  <w:num w:numId="23" w16cid:durableId="1882590410">
    <w:abstractNumId w:val="24"/>
  </w:num>
  <w:num w:numId="24" w16cid:durableId="2032492416">
    <w:abstractNumId w:val="25"/>
  </w:num>
  <w:num w:numId="25" w16cid:durableId="1667588674">
    <w:abstractNumId w:val="30"/>
  </w:num>
  <w:num w:numId="26" w16cid:durableId="945385457">
    <w:abstractNumId w:val="23"/>
  </w:num>
  <w:num w:numId="27" w16cid:durableId="2128772139">
    <w:abstractNumId w:val="29"/>
  </w:num>
  <w:num w:numId="28" w16cid:durableId="2018801155">
    <w:abstractNumId w:val="9"/>
  </w:num>
  <w:num w:numId="29" w16cid:durableId="1181814886">
    <w:abstractNumId w:val="11"/>
  </w:num>
  <w:num w:numId="30" w16cid:durableId="1742674614">
    <w:abstractNumId w:val="28"/>
  </w:num>
  <w:num w:numId="31" w16cid:durableId="697319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4E"/>
    <w:rsid w:val="000119B1"/>
    <w:rsid w:val="000303E6"/>
    <w:rsid w:val="00037D64"/>
    <w:rsid w:val="00060B38"/>
    <w:rsid w:val="00065415"/>
    <w:rsid w:val="00090D20"/>
    <w:rsid w:val="00094122"/>
    <w:rsid w:val="000C0245"/>
    <w:rsid w:val="000C2510"/>
    <w:rsid w:val="000C70C6"/>
    <w:rsid w:val="0013117C"/>
    <w:rsid w:val="00147E91"/>
    <w:rsid w:val="00151492"/>
    <w:rsid w:val="00152329"/>
    <w:rsid w:val="00171A4F"/>
    <w:rsid w:val="001A1755"/>
    <w:rsid w:val="001D358D"/>
    <w:rsid w:val="001D4C88"/>
    <w:rsid w:val="001E02FC"/>
    <w:rsid w:val="001E3A25"/>
    <w:rsid w:val="0020311D"/>
    <w:rsid w:val="00207E56"/>
    <w:rsid w:val="002120D2"/>
    <w:rsid w:val="00212803"/>
    <w:rsid w:val="00241AAB"/>
    <w:rsid w:val="00262E5C"/>
    <w:rsid w:val="00271C2A"/>
    <w:rsid w:val="002844E7"/>
    <w:rsid w:val="00291EDD"/>
    <w:rsid w:val="00293F59"/>
    <w:rsid w:val="002A6A0F"/>
    <w:rsid w:val="002E6E07"/>
    <w:rsid w:val="002E74DD"/>
    <w:rsid w:val="00307EA7"/>
    <w:rsid w:val="00323D20"/>
    <w:rsid w:val="00324EFF"/>
    <w:rsid w:val="0033515F"/>
    <w:rsid w:val="003603FF"/>
    <w:rsid w:val="00384E5D"/>
    <w:rsid w:val="003952AC"/>
    <w:rsid w:val="003973A5"/>
    <w:rsid w:val="003A6421"/>
    <w:rsid w:val="003C5FA6"/>
    <w:rsid w:val="003E45B8"/>
    <w:rsid w:val="00410A18"/>
    <w:rsid w:val="004420A4"/>
    <w:rsid w:val="004425DF"/>
    <w:rsid w:val="00453AD4"/>
    <w:rsid w:val="004575D6"/>
    <w:rsid w:val="004A0C1D"/>
    <w:rsid w:val="004B7DFC"/>
    <w:rsid w:val="004D5B95"/>
    <w:rsid w:val="004D7604"/>
    <w:rsid w:val="004F2E53"/>
    <w:rsid w:val="004F5ADA"/>
    <w:rsid w:val="0051299A"/>
    <w:rsid w:val="0052460B"/>
    <w:rsid w:val="00535B0E"/>
    <w:rsid w:val="0055502C"/>
    <w:rsid w:val="005A6840"/>
    <w:rsid w:val="005B0303"/>
    <w:rsid w:val="005B2978"/>
    <w:rsid w:val="005B2C91"/>
    <w:rsid w:val="005D3F4D"/>
    <w:rsid w:val="005E0A8E"/>
    <w:rsid w:val="00602A59"/>
    <w:rsid w:val="00610F2A"/>
    <w:rsid w:val="006148DF"/>
    <w:rsid w:val="0063163C"/>
    <w:rsid w:val="00652439"/>
    <w:rsid w:val="006568A3"/>
    <w:rsid w:val="00662BFA"/>
    <w:rsid w:val="00695569"/>
    <w:rsid w:val="006A5402"/>
    <w:rsid w:val="00702367"/>
    <w:rsid w:val="00736854"/>
    <w:rsid w:val="007449E9"/>
    <w:rsid w:val="00792B1F"/>
    <w:rsid w:val="007A37F6"/>
    <w:rsid w:val="007A3FA6"/>
    <w:rsid w:val="007B37BD"/>
    <w:rsid w:val="007F1911"/>
    <w:rsid w:val="007F7417"/>
    <w:rsid w:val="00821A46"/>
    <w:rsid w:val="00823013"/>
    <w:rsid w:val="00857082"/>
    <w:rsid w:val="008742FA"/>
    <w:rsid w:val="00880F94"/>
    <w:rsid w:val="00885E2A"/>
    <w:rsid w:val="0089127A"/>
    <w:rsid w:val="008B4271"/>
    <w:rsid w:val="008D3CD1"/>
    <w:rsid w:val="008E3ED2"/>
    <w:rsid w:val="008E7DBC"/>
    <w:rsid w:val="008F1F93"/>
    <w:rsid w:val="00925A46"/>
    <w:rsid w:val="009410A6"/>
    <w:rsid w:val="00952132"/>
    <w:rsid w:val="0095434C"/>
    <w:rsid w:val="00957840"/>
    <w:rsid w:val="009B7389"/>
    <w:rsid w:val="009C4CAE"/>
    <w:rsid w:val="00A0326D"/>
    <w:rsid w:val="00A4315B"/>
    <w:rsid w:val="00A83A80"/>
    <w:rsid w:val="00AD43D6"/>
    <w:rsid w:val="00AF31C7"/>
    <w:rsid w:val="00B01042"/>
    <w:rsid w:val="00B464F9"/>
    <w:rsid w:val="00B72652"/>
    <w:rsid w:val="00B87081"/>
    <w:rsid w:val="00BA6FBA"/>
    <w:rsid w:val="00BC586C"/>
    <w:rsid w:val="00BD4CC2"/>
    <w:rsid w:val="00BD54D2"/>
    <w:rsid w:val="00C149A7"/>
    <w:rsid w:val="00C32DA6"/>
    <w:rsid w:val="00C4488B"/>
    <w:rsid w:val="00C461ED"/>
    <w:rsid w:val="00C4710D"/>
    <w:rsid w:val="00C71B99"/>
    <w:rsid w:val="00C75A05"/>
    <w:rsid w:val="00C82518"/>
    <w:rsid w:val="00CB5AEA"/>
    <w:rsid w:val="00CC04BE"/>
    <w:rsid w:val="00CC79E9"/>
    <w:rsid w:val="00CD20EE"/>
    <w:rsid w:val="00D76AFB"/>
    <w:rsid w:val="00D81DF1"/>
    <w:rsid w:val="00DB2166"/>
    <w:rsid w:val="00DB4EFF"/>
    <w:rsid w:val="00DD5D4E"/>
    <w:rsid w:val="00DE7E98"/>
    <w:rsid w:val="00DF2F12"/>
    <w:rsid w:val="00DF4F13"/>
    <w:rsid w:val="00E17E76"/>
    <w:rsid w:val="00E52668"/>
    <w:rsid w:val="00E811B4"/>
    <w:rsid w:val="00E94933"/>
    <w:rsid w:val="00E96CA8"/>
    <w:rsid w:val="00E9709F"/>
    <w:rsid w:val="00EA54E2"/>
    <w:rsid w:val="00ED199A"/>
    <w:rsid w:val="00F168FC"/>
    <w:rsid w:val="00F33306"/>
    <w:rsid w:val="00F969CE"/>
    <w:rsid w:val="00F97C79"/>
    <w:rsid w:val="00FA7A40"/>
    <w:rsid w:val="00FB65FF"/>
    <w:rsid w:val="00FF2036"/>
    <w:rsid w:val="00FF6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FF23E"/>
  <w15:chartTrackingRefBased/>
  <w15:docId w15:val="{0F583A49-2875-4A06-818F-21DCAD5E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2460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911"/>
    <w:pPr>
      <w:ind w:left="720"/>
      <w:contextualSpacing/>
    </w:pPr>
  </w:style>
  <w:style w:type="paragraph" w:styleId="NormalWeb">
    <w:name w:val="Normal (Web)"/>
    <w:basedOn w:val="Normal"/>
    <w:uiPriority w:val="99"/>
    <w:semiHidden/>
    <w:unhideWhenUsed/>
    <w:rsid w:val="00B870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52460B"/>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52460B"/>
    <w:rPr>
      <w:b/>
      <w:bCs/>
    </w:rPr>
  </w:style>
  <w:style w:type="paragraph" w:styleId="Header">
    <w:name w:val="header"/>
    <w:basedOn w:val="Normal"/>
    <w:link w:val="HeaderChar"/>
    <w:uiPriority w:val="99"/>
    <w:unhideWhenUsed/>
    <w:rsid w:val="004A0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C1D"/>
  </w:style>
  <w:style w:type="paragraph" w:styleId="Footer">
    <w:name w:val="footer"/>
    <w:basedOn w:val="Normal"/>
    <w:link w:val="FooterChar"/>
    <w:uiPriority w:val="99"/>
    <w:unhideWhenUsed/>
    <w:rsid w:val="004A0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2475">
      <w:bodyDiv w:val="1"/>
      <w:marLeft w:val="0"/>
      <w:marRight w:val="0"/>
      <w:marTop w:val="0"/>
      <w:marBottom w:val="0"/>
      <w:divBdr>
        <w:top w:val="none" w:sz="0" w:space="0" w:color="auto"/>
        <w:left w:val="none" w:sz="0" w:space="0" w:color="auto"/>
        <w:bottom w:val="none" w:sz="0" w:space="0" w:color="auto"/>
        <w:right w:val="none" w:sz="0" w:space="0" w:color="auto"/>
      </w:divBdr>
    </w:div>
    <w:div w:id="307246124">
      <w:bodyDiv w:val="1"/>
      <w:marLeft w:val="0"/>
      <w:marRight w:val="0"/>
      <w:marTop w:val="0"/>
      <w:marBottom w:val="0"/>
      <w:divBdr>
        <w:top w:val="none" w:sz="0" w:space="0" w:color="auto"/>
        <w:left w:val="none" w:sz="0" w:space="0" w:color="auto"/>
        <w:bottom w:val="none" w:sz="0" w:space="0" w:color="auto"/>
        <w:right w:val="none" w:sz="0" w:space="0" w:color="auto"/>
      </w:divBdr>
    </w:div>
    <w:div w:id="474883264">
      <w:bodyDiv w:val="1"/>
      <w:marLeft w:val="0"/>
      <w:marRight w:val="0"/>
      <w:marTop w:val="0"/>
      <w:marBottom w:val="0"/>
      <w:divBdr>
        <w:top w:val="none" w:sz="0" w:space="0" w:color="auto"/>
        <w:left w:val="none" w:sz="0" w:space="0" w:color="auto"/>
        <w:bottom w:val="none" w:sz="0" w:space="0" w:color="auto"/>
        <w:right w:val="none" w:sz="0" w:space="0" w:color="auto"/>
      </w:divBdr>
    </w:div>
    <w:div w:id="719402988">
      <w:bodyDiv w:val="1"/>
      <w:marLeft w:val="0"/>
      <w:marRight w:val="0"/>
      <w:marTop w:val="0"/>
      <w:marBottom w:val="0"/>
      <w:divBdr>
        <w:top w:val="none" w:sz="0" w:space="0" w:color="auto"/>
        <w:left w:val="none" w:sz="0" w:space="0" w:color="auto"/>
        <w:bottom w:val="none" w:sz="0" w:space="0" w:color="auto"/>
        <w:right w:val="none" w:sz="0" w:space="0" w:color="auto"/>
      </w:divBdr>
    </w:div>
    <w:div w:id="1370298135">
      <w:bodyDiv w:val="1"/>
      <w:marLeft w:val="0"/>
      <w:marRight w:val="0"/>
      <w:marTop w:val="0"/>
      <w:marBottom w:val="0"/>
      <w:divBdr>
        <w:top w:val="none" w:sz="0" w:space="0" w:color="auto"/>
        <w:left w:val="none" w:sz="0" w:space="0" w:color="auto"/>
        <w:bottom w:val="none" w:sz="0" w:space="0" w:color="auto"/>
        <w:right w:val="none" w:sz="0" w:space="0" w:color="auto"/>
      </w:divBdr>
    </w:div>
    <w:div w:id="198792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7653D-F639-4147-9CD7-BF8B5725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TAPPIN, Jacki</dc:creator>
  <cp:keywords/>
  <dc:description/>
  <cp:lastModifiedBy>GROVES, Lauren</cp:lastModifiedBy>
  <cp:revision>2</cp:revision>
  <cp:lastPrinted>2022-03-18T13:31:00Z</cp:lastPrinted>
  <dcterms:created xsi:type="dcterms:W3CDTF">2026-06-16T09:12:00Z</dcterms:created>
  <dcterms:modified xsi:type="dcterms:W3CDTF">2026-06-16T09:12:00Z</dcterms:modified>
</cp:coreProperties>
</file>