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4E" w:rsidRPr="001E63A0" w:rsidRDefault="00A02FAF" w:rsidP="00A02F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36"/>
          <w:szCs w:val="36"/>
        </w:rPr>
      </w:pPr>
      <w:r w:rsidRPr="001E63A0">
        <w:rPr>
          <w:rFonts w:cstheme="minorHAnsi"/>
          <w:b/>
          <w:bCs/>
          <w:color w:val="000000" w:themeColor="text1"/>
          <w:sz w:val="36"/>
          <w:szCs w:val="36"/>
        </w:rPr>
        <w:t>Self-evaluation for schools</w:t>
      </w:r>
      <w:r w:rsidRPr="001E63A0">
        <w:rPr>
          <w:rFonts w:cstheme="minorHAnsi"/>
          <w:b/>
          <w:bCs/>
          <w:color w:val="000000" w:themeColor="text1"/>
          <w:sz w:val="36"/>
          <w:szCs w:val="36"/>
        </w:rPr>
        <w:t xml:space="preserve"> with Gypsy, Roma and Traveller </w:t>
      </w:r>
      <w:r w:rsidRPr="001E63A0">
        <w:rPr>
          <w:rFonts w:cstheme="minorHAnsi"/>
          <w:b/>
          <w:bCs/>
          <w:color w:val="000000" w:themeColor="text1"/>
          <w:sz w:val="36"/>
          <w:szCs w:val="36"/>
        </w:rPr>
        <w:t>pupils</w:t>
      </w:r>
    </w:p>
    <w:p w:rsidR="00200980" w:rsidRPr="001E63A0" w:rsidRDefault="00200980" w:rsidP="00A02F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7A394"/>
          <w:sz w:val="24"/>
          <w:szCs w:val="24"/>
        </w:rPr>
      </w:pPr>
    </w:p>
    <w:p w:rsidR="00200980" w:rsidRPr="001E63A0" w:rsidRDefault="00200980" w:rsidP="00A02F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1E63A0">
        <w:rPr>
          <w:rFonts w:cstheme="minorHAnsi"/>
          <w:b/>
          <w:bCs/>
          <w:color w:val="000000" w:themeColor="text1"/>
          <w:sz w:val="28"/>
          <w:szCs w:val="28"/>
        </w:rPr>
        <w:t xml:space="preserve">Leadership and management </w:t>
      </w:r>
    </w:p>
    <w:p w:rsidR="001E63A0" w:rsidRPr="00903EC4" w:rsidRDefault="001E63A0" w:rsidP="00A02FA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79"/>
        <w:gridCol w:w="1418"/>
        <w:gridCol w:w="1418"/>
        <w:gridCol w:w="1418"/>
      </w:tblGrid>
      <w:tr w:rsidR="00C13DC4" w:rsidRPr="001E63A0" w:rsidTr="00C13DC4">
        <w:trPr>
          <w:jc w:val="center"/>
        </w:trPr>
        <w:tc>
          <w:tcPr>
            <w:tcW w:w="6079" w:type="dxa"/>
            <w:shd w:val="clear" w:color="auto" w:fill="D9D9D9" w:themeFill="background1" w:themeFillShade="D9"/>
          </w:tcPr>
          <w:p w:rsidR="00200980" w:rsidRPr="001E63A0" w:rsidRDefault="00200980" w:rsidP="00A02F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E63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Self evaluation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E63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Well developed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E63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E63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Not yet in place</w:t>
            </w:r>
          </w:p>
        </w:tc>
      </w:tr>
      <w:tr w:rsidR="00200980" w:rsidRPr="001E63A0" w:rsidTr="00273395">
        <w:trPr>
          <w:jc w:val="center"/>
        </w:trPr>
        <w:tc>
          <w:tcPr>
            <w:tcW w:w="6079" w:type="dxa"/>
          </w:tcPr>
          <w:p w:rsidR="00200980" w:rsidRPr="00273395" w:rsidRDefault="00200980" w:rsidP="002009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The</w:t>
            </w:r>
            <w:r w:rsidR="00BE145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E1457">
              <w:rPr>
                <w:rFonts w:cstheme="minorHAnsi"/>
                <w:sz w:val="24"/>
                <w:szCs w:val="24"/>
              </w:rPr>
              <w:t>headteacher</w:t>
            </w:r>
            <w:proofErr w:type="spellEnd"/>
            <w:r w:rsidR="00BE1457">
              <w:rPr>
                <w:rFonts w:cstheme="minorHAnsi"/>
                <w:sz w:val="24"/>
                <w:szCs w:val="24"/>
              </w:rPr>
              <w:t xml:space="preserve"> provides an active lead on raising the achievement</w:t>
            </w:r>
            <w:r w:rsidR="00273395">
              <w:rPr>
                <w:rFonts w:cstheme="minorHAnsi"/>
                <w:sz w:val="24"/>
                <w:szCs w:val="24"/>
              </w:rPr>
              <w:t xml:space="preserve"> of </w:t>
            </w:r>
            <w:r w:rsidRPr="001E63A0">
              <w:rPr>
                <w:rFonts w:cstheme="minorHAnsi"/>
                <w:sz w:val="24"/>
                <w:szCs w:val="24"/>
              </w:rPr>
              <w:t>Gy</w:t>
            </w:r>
            <w:r w:rsidR="00273395">
              <w:rPr>
                <w:rFonts w:cstheme="minorHAnsi"/>
                <w:sz w:val="24"/>
                <w:szCs w:val="24"/>
              </w:rPr>
              <w:t xml:space="preserve">psy, Roma and Traveller pupils, as part of a commitment to the </w:t>
            </w:r>
            <w:r w:rsidRPr="001E63A0">
              <w:rPr>
                <w:rFonts w:cstheme="minorHAnsi"/>
                <w:sz w:val="24"/>
                <w:szCs w:val="24"/>
              </w:rPr>
              <w:t>development of an inclusive ethos.</w:t>
            </w: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200980" w:rsidRPr="001E63A0" w:rsidTr="00273395">
        <w:trPr>
          <w:jc w:val="center"/>
        </w:trPr>
        <w:tc>
          <w:tcPr>
            <w:tcW w:w="6079" w:type="dxa"/>
          </w:tcPr>
          <w:p w:rsidR="00200980" w:rsidRPr="00BE1457" w:rsidRDefault="00273395" w:rsidP="002009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school development plan has </w:t>
            </w:r>
            <w:r w:rsidR="00200980" w:rsidRPr="001E63A0">
              <w:rPr>
                <w:rFonts w:cstheme="minorHAnsi"/>
                <w:sz w:val="24"/>
                <w:szCs w:val="24"/>
              </w:rPr>
              <w:t>clea</w:t>
            </w:r>
            <w:r>
              <w:rPr>
                <w:rFonts w:cstheme="minorHAnsi"/>
                <w:sz w:val="24"/>
                <w:szCs w:val="24"/>
              </w:rPr>
              <w:t xml:space="preserve">r objectives and strategies for </w:t>
            </w:r>
            <w:r w:rsidR="00200980" w:rsidRPr="001E63A0">
              <w:rPr>
                <w:rFonts w:cstheme="minorHAnsi"/>
                <w:sz w:val="24"/>
                <w:szCs w:val="24"/>
              </w:rPr>
              <w:t>raisin</w:t>
            </w:r>
            <w:r w:rsidR="00BE1457">
              <w:rPr>
                <w:rFonts w:cstheme="minorHAnsi"/>
                <w:sz w:val="24"/>
                <w:szCs w:val="24"/>
              </w:rPr>
              <w:t xml:space="preserve">g the </w:t>
            </w:r>
            <w:r w:rsidR="00BE1457" w:rsidRPr="001E63A0">
              <w:rPr>
                <w:rFonts w:cstheme="minorHAnsi"/>
                <w:sz w:val="24"/>
                <w:szCs w:val="24"/>
              </w:rPr>
              <w:t>achievement</w:t>
            </w:r>
            <w:r w:rsidR="00BE1457">
              <w:rPr>
                <w:rFonts w:cstheme="minorHAnsi"/>
                <w:sz w:val="24"/>
                <w:szCs w:val="24"/>
              </w:rPr>
              <w:t xml:space="preserve"> of Gypsy, Roma </w:t>
            </w:r>
            <w:r w:rsidR="00200980" w:rsidRPr="001E63A0">
              <w:rPr>
                <w:rFonts w:cstheme="minorHAnsi"/>
                <w:sz w:val="24"/>
                <w:szCs w:val="24"/>
              </w:rPr>
              <w:t>and T</w:t>
            </w:r>
            <w:r w:rsidR="00BE1457">
              <w:rPr>
                <w:rFonts w:cstheme="minorHAnsi"/>
                <w:sz w:val="24"/>
                <w:szCs w:val="24"/>
              </w:rPr>
              <w:t xml:space="preserve">raveller pupils including newly </w:t>
            </w:r>
            <w:r w:rsidR="00200980" w:rsidRPr="001E63A0">
              <w:rPr>
                <w:rFonts w:cstheme="minorHAnsi"/>
                <w:sz w:val="24"/>
                <w:szCs w:val="24"/>
              </w:rPr>
              <w:t>arrived pupils.</w:t>
            </w: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200980" w:rsidRPr="001E63A0" w:rsidTr="00273395">
        <w:trPr>
          <w:jc w:val="center"/>
        </w:trPr>
        <w:tc>
          <w:tcPr>
            <w:tcW w:w="6079" w:type="dxa"/>
          </w:tcPr>
          <w:p w:rsidR="00200980" w:rsidRPr="00273395" w:rsidRDefault="00273395" w:rsidP="002009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school’s CPD cycle includes </w:t>
            </w:r>
            <w:r w:rsidR="00200980" w:rsidRPr="001E63A0">
              <w:rPr>
                <w:rFonts w:cstheme="minorHAnsi"/>
                <w:sz w:val="24"/>
                <w:szCs w:val="24"/>
              </w:rPr>
              <w:t>regular</w:t>
            </w:r>
            <w:r>
              <w:rPr>
                <w:rFonts w:cstheme="minorHAnsi"/>
                <w:sz w:val="24"/>
                <w:szCs w:val="24"/>
              </w:rPr>
              <w:t xml:space="preserve"> provision for training for </w:t>
            </w:r>
            <w:proofErr w:type="spellStart"/>
            <w:r>
              <w:rPr>
                <w:rFonts w:cstheme="minorHAnsi"/>
                <w:sz w:val="24"/>
                <w:szCs w:val="24"/>
              </w:rPr>
              <w:t>all</w:t>
            </w:r>
            <w:r w:rsidR="00200980" w:rsidRPr="001E63A0">
              <w:rPr>
                <w:rFonts w:cstheme="minorHAnsi"/>
                <w:sz w:val="24"/>
                <w:szCs w:val="24"/>
              </w:rPr>
              <w:t>staf</w:t>
            </w:r>
            <w:r>
              <w:rPr>
                <w:rFonts w:cstheme="minorHAnsi"/>
                <w:sz w:val="24"/>
                <w:szCs w:val="24"/>
              </w:rPr>
              <w:t>f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related to the achievement of </w:t>
            </w:r>
            <w:r w:rsidR="00200980" w:rsidRPr="001E63A0">
              <w:rPr>
                <w:rFonts w:cstheme="minorHAnsi"/>
                <w:sz w:val="24"/>
                <w:szCs w:val="24"/>
              </w:rPr>
              <w:t>Gypsy, Roma and Traveller pupils.</w:t>
            </w: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200980" w:rsidRPr="001E63A0" w:rsidTr="00273395">
        <w:trPr>
          <w:jc w:val="center"/>
        </w:trPr>
        <w:tc>
          <w:tcPr>
            <w:tcW w:w="6079" w:type="dxa"/>
          </w:tcPr>
          <w:p w:rsidR="00200980" w:rsidRPr="00273395" w:rsidRDefault="00273395" w:rsidP="002009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Performance management targets </w:t>
            </w:r>
            <w:r w:rsidR="00200980" w:rsidRPr="001E63A0">
              <w:rPr>
                <w:rFonts w:cstheme="minorHAnsi"/>
                <w:sz w:val="24"/>
                <w:szCs w:val="24"/>
              </w:rPr>
              <w:t>inclu</w:t>
            </w:r>
            <w:r>
              <w:rPr>
                <w:rFonts w:cstheme="minorHAnsi"/>
                <w:sz w:val="24"/>
                <w:szCs w:val="24"/>
              </w:rPr>
              <w:t xml:space="preserve">de those related to raising the achievement of Gypsy, Roma and </w:t>
            </w:r>
            <w:r w:rsidR="00200980" w:rsidRPr="001E63A0">
              <w:rPr>
                <w:rFonts w:cstheme="minorHAnsi"/>
                <w:sz w:val="24"/>
                <w:szCs w:val="24"/>
              </w:rPr>
              <w:t>Traveller pupils</w:t>
            </w:r>
            <w:r>
              <w:rPr>
                <w:rFonts w:cstheme="minorHAnsi"/>
                <w:sz w:val="24"/>
                <w:szCs w:val="24"/>
              </w:rPr>
              <w:t xml:space="preserve"> including newly </w:t>
            </w:r>
            <w:r w:rsidR="00200980" w:rsidRPr="001E63A0">
              <w:rPr>
                <w:rFonts w:cstheme="minorHAnsi"/>
                <w:sz w:val="24"/>
                <w:szCs w:val="24"/>
              </w:rPr>
              <w:t>arrived pupils.</w:t>
            </w: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200980" w:rsidRPr="001E63A0" w:rsidTr="00273395">
        <w:trPr>
          <w:jc w:val="center"/>
        </w:trPr>
        <w:tc>
          <w:tcPr>
            <w:tcW w:w="6079" w:type="dxa"/>
          </w:tcPr>
          <w:p w:rsidR="00200980" w:rsidRPr="00BE1457" w:rsidRDefault="00200980" w:rsidP="002009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The sch</w:t>
            </w:r>
            <w:r w:rsidR="00BE1457">
              <w:rPr>
                <w:rFonts w:cstheme="minorHAnsi"/>
                <w:sz w:val="24"/>
                <w:szCs w:val="24"/>
              </w:rPr>
              <w:t xml:space="preserve">ool actively recruits governors </w:t>
            </w:r>
            <w:r w:rsidRPr="001E63A0">
              <w:rPr>
                <w:rFonts w:cstheme="minorHAnsi"/>
                <w:sz w:val="24"/>
                <w:szCs w:val="24"/>
              </w:rPr>
              <w:t>and</w:t>
            </w:r>
            <w:r w:rsidR="00BE1457">
              <w:rPr>
                <w:rFonts w:cstheme="minorHAnsi"/>
                <w:sz w:val="24"/>
                <w:szCs w:val="24"/>
              </w:rPr>
              <w:t xml:space="preserve"> school staff representative of </w:t>
            </w:r>
            <w:r w:rsidRPr="001E63A0">
              <w:rPr>
                <w:rFonts w:cstheme="minorHAnsi"/>
                <w:sz w:val="24"/>
                <w:szCs w:val="24"/>
              </w:rPr>
              <w:t>w</w:t>
            </w:r>
            <w:r w:rsidR="00BE1457">
              <w:rPr>
                <w:rFonts w:cstheme="minorHAnsi"/>
                <w:sz w:val="24"/>
                <w:szCs w:val="24"/>
              </w:rPr>
              <w:t xml:space="preserve">ider community groups including </w:t>
            </w:r>
            <w:r w:rsidRPr="001E63A0">
              <w:rPr>
                <w:rFonts w:cstheme="minorHAnsi"/>
                <w:sz w:val="24"/>
                <w:szCs w:val="24"/>
              </w:rPr>
              <w:t>Gypsy, Roma and Traveller groups.</w:t>
            </w: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200980" w:rsidRPr="001E63A0" w:rsidTr="00273395">
        <w:trPr>
          <w:jc w:val="center"/>
        </w:trPr>
        <w:tc>
          <w:tcPr>
            <w:tcW w:w="6079" w:type="dxa"/>
          </w:tcPr>
          <w:p w:rsidR="00200980" w:rsidRPr="00BE1457" w:rsidRDefault="00273395" w:rsidP="002009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Underachieving Gypsy, Roma and </w:t>
            </w:r>
            <w:r w:rsidR="00200980" w:rsidRPr="001E63A0">
              <w:rPr>
                <w:rFonts w:cstheme="minorHAnsi"/>
                <w:sz w:val="24"/>
                <w:szCs w:val="24"/>
              </w:rPr>
              <w:t>Tr</w:t>
            </w:r>
            <w:r>
              <w:rPr>
                <w:rFonts w:cstheme="minorHAnsi"/>
                <w:sz w:val="24"/>
                <w:szCs w:val="24"/>
              </w:rPr>
              <w:t xml:space="preserve">aveller pupils are targeted for </w:t>
            </w:r>
            <w:r w:rsidR="00BE1457">
              <w:rPr>
                <w:rFonts w:cstheme="minorHAnsi"/>
                <w:sz w:val="24"/>
                <w:szCs w:val="24"/>
              </w:rPr>
              <w:t xml:space="preserve">support at key enrichment activities such as breakfast, homework and </w:t>
            </w:r>
            <w:r w:rsidR="00200980" w:rsidRPr="001E63A0">
              <w:rPr>
                <w:rFonts w:cstheme="minorHAnsi"/>
                <w:sz w:val="24"/>
                <w:szCs w:val="24"/>
              </w:rPr>
              <w:t>revisio</w:t>
            </w:r>
            <w:r w:rsidR="00BE1457">
              <w:rPr>
                <w:rFonts w:cstheme="minorHAnsi"/>
                <w:sz w:val="24"/>
                <w:szCs w:val="24"/>
              </w:rPr>
              <w:t xml:space="preserve">n clubs </w:t>
            </w:r>
            <w:r>
              <w:rPr>
                <w:rFonts w:cstheme="minorHAnsi"/>
                <w:sz w:val="24"/>
                <w:szCs w:val="24"/>
              </w:rPr>
              <w:t xml:space="preserve">and their </w:t>
            </w:r>
            <w:r w:rsidR="00BE1457">
              <w:rPr>
                <w:rFonts w:cstheme="minorHAnsi"/>
                <w:sz w:val="24"/>
                <w:szCs w:val="24"/>
              </w:rPr>
              <w:t xml:space="preserve">attendance is </w:t>
            </w:r>
            <w:r w:rsidR="00200980" w:rsidRPr="001E63A0">
              <w:rPr>
                <w:rFonts w:cstheme="minorHAnsi"/>
                <w:sz w:val="24"/>
                <w:szCs w:val="24"/>
              </w:rPr>
              <w:t>monitored.</w:t>
            </w: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200980" w:rsidRPr="001E63A0" w:rsidTr="00273395">
        <w:trPr>
          <w:jc w:val="center"/>
        </w:trPr>
        <w:tc>
          <w:tcPr>
            <w:tcW w:w="6079" w:type="dxa"/>
          </w:tcPr>
          <w:p w:rsidR="00200980" w:rsidRPr="00BE1457" w:rsidRDefault="00200980" w:rsidP="002009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The</w:t>
            </w:r>
            <w:r w:rsidR="00273395">
              <w:rPr>
                <w:rFonts w:cstheme="minorHAnsi"/>
                <w:sz w:val="24"/>
                <w:szCs w:val="24"/>
              </w:rPr>
              <w:t xml:space="preserve"> school actively engages Gypsy, </w:t>
            </w:r>
            <w:r w:rsidRPr="001E63A0">
              <w:rPr>
                <w:rFonts w:cstheme="minorHAnsi"/>
                <w:sz w:val="24"/>
                <w:szCs w:val="24"/>
              </w:rPr>
              <w:t>Roma an</w:t>
            </w:r>
            <w:r w:rsidR="00BE1457">
              <w:rPr>
                <w:rFonts w:cstheme="minorHAnsi"/>
                <w:sz w:val="24"/>
                <w:szCs w:val="24"/>
              </w:rPr>
              <w:t xml:space="preserve">d Traveller pupils by involving </w:t>
            </w:r>
            <w:r w:rsidRPr="001E63A0">
              <w:rPr>
                <w:rFonts w:cstheme="minorHAnsi"/>
                <w:sz w:val="24"/>
                <w:szCs w:val="24"/>
              </w:rPr>
              <w:t>them in</w:t>
            </w:r>
            <w:r w:rsidR="00BE1457">
              <w:rPr>
                <w:rFonts w:cstheme="minorHAnsi"/>
                <w:sz w:val="24"/>
                <w:szCs w:val="24"/>
              </w:rPr>
              <w:t xml:space="preserve"> all aspects of school life and </w:t>
            </w:r>
            <w:r w:rsidRPr="001E63A0">
              <w:rPr>
                <w:rFonts w:cstheme="minorHAnsi"/>
                <w:sz w:val="24"/>
                <w:szCs w:val="24"/>
              </w:rPr>
              <w:t xml:space="preserve">seeking their views in a </w:t>
            </w:r>
            <w:r w:rsidR="00BE1457">
              <w:rPr>
                <w:rFonts w:cstheme="minorHAnsi"/>
                <w:sz w:val="24"/>
                <w:szCs w:val="24"/>
              </w:rPr>
              <w:t xml:space="preserve">variety of </w:t>
            </w:r>
            <w:r w:rsidRPr="001E63A0">
              <w:rPr>
                <w:rFonts w:cstheme="minorHAnsi"/>
                <w:sz w:val="24"/>
                <w:szCs w:val="24"/>
              </w:rPr>
              <w:t>ways.</w:t>
            </w: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200980" w:rsidRPr="001E63A0" w:rsidTr="00273395">
        <w:trPr>
          <w:jc w:val="center"/>
        </w:trPr>
        <w:tc>
          <w:tcPr>
            <w:tcW w:w="6079" w:type="dxa"/>
          </w:tcPr>
          <w:p w:rsidR="00200980" w:rsidRPr="001E63A0" w:rsidRDefault="00273395" w:rsidP="002009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There are clear policies and </w:t>
            </w:r>
            <w:r w:rsidR="00200980" w:rsidRPr="001E63A0">
              <w:rPr>
                <w:rFonts w:cstheme="minorHAnsi"/>
                <w:sz w:val="24"/>
                <w:szCs w:val="24"/>
              </w:rPr>
              <w:t>procedu</w:t>
            </w:r>
            <w:r w:rsidR="00BE1457">
              <w:rPr>
                <w:rFonts w:cstheme="minorHAnsi"/>
                <w:sz w:val="24"/>
                <w:szCs w:val="24"/>
              </w:rPr>
              <w:t xml:space="preserve">res for pupils arriving outside </w:t>
            </w:r>
            <w:r w:rsidR="00200980" w:rsidRPr="001E63A0">
              <w:rPr>
                <w:rFonts w:cstheme="minorHAnsi"/>
                <w:sz w:val="24"/>
                <w:szCs w:val="24"/>
              </w:rPr>
              <w:t>the n</w:t>
            </w:r>
            <w:r w:rsidR="00BE1457">
              <w:rPr>
                <w:rFonts w:cstheme="minorHAnsi"/>
                <w:sz w:val="24"/>
                <w:szCs w:val="24"/>
              </w:rPr>
              <w:t xml:space="preserve">ormal admission times including </w:t>
            </w:r>
            <w:r w:rsidR="00200980" w:rsidRPr="001E63A0">
              <w:rPr>
                <w:rFonts w:cstheme="minorHAnsi"/>
                <w:sz w:val="24"/>
                <w:szCs w:val="24"/>
              </w:rPr>
              <w:t>information gathering, induction,</w:t>
            </w:r>
            <w:r w:rsidR="00BE1457">
              <w:rPr>
                <w:rFonts w:cstheme="minorHAnsi"/>
                <w:sz w:val="24"/>
                <w:szCs w:val="24"/>
              </w:rPr>
              <w:t xml:space="preserve"> </w:t>
            </w:r>
            <w:r w:rsidR="00200980" w:rsidRPr="001E63A0">
              <w:rPr>
                <w:rFonts w:cstheme="minorHAnsi"/>
                <w:sz w:val="24"/>
                <w:szCs w:val="24"/>
              </w:rPr>
              <w:t xml:space="preserve">pupil support </w:t>
            </w:r>
            <w:r w:rsidR="00BE1457">
              <w:rPr>
                <w:rFonts w:cstheme="minorHAnsi"/>
                <w:sz w:val="24"/>
                <w:szCs w:val="24"/>
              </w:rPr>
              <w:t xml:space="preserve">and feedback to </w:t>
            </w:r>
            <w:r w:rsidR="00200980" w:rsidRPr="001E63A0">
              <w:rPr>
                <w:rFonts w:cstheme="minorHAnsi"/>
                <w:sz w:val="24"/>
                <w:szCs w:val="24"/>
              </w:rPr>
              <w:t>parents/carers.</w:t>
            </w: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200980" w:rsidRPr="001E63A0" w:rsidTr="00273395">
        <w:trPr>
          <w:jc w:val="center"/>
        </w:trPr>
        <w:tc>
          <w:tcPr>
            <w:tcW w:w="6079" w:type="dxa"/>
          </w:tcPr>
          <w:p w:rsidR="00200980" w:rsidRPr="001E63A0" w:rsidRDefault="00200980" w:rsidP="002009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The s</w:t>
            </w:r>
            <w:r w:rsidR="00BE1457">
              <w:rPr>
                <w:rFonts w:cstheme="minorHAnsi"/>
                <w:sz w:val="24"/>
                <w:szCs w:val="24"/>
              </w:rPr>
              <w:t xml:space="preserve">enior leadership team (SLT) has </w:t>
            </w:r>
            <w:r w:rsidRPr="001E63A0">
              <w:rPr>
                <w:rFonts w:cstheme="minorHAnsi"/>
                <w:sz w:val="24"/>
                <w:szCs w:val="24"/>
              </w:rPr>
              <w:t>developed a strateg</w:t>
            </w:r>
            <w:r w:rsidR="00BE1457">
              <w:rPr>
                <w:rFonts w:cstheme="minorHAnsi"/>
                <w:sz w:val="24"/>
                <w:szCs w:val="24"/>
              </w:rPr>
              <w:t xml:space="preserve">ic approach to the </w:t>
            </w:r>
            <w:r w:rsidRPr="001E63A0">
              <w:rPr>
                <w:rFonts w:cstheme="minorHAnsi"/>
                <w:sz w:val="24"/>
                <w:szCs w:val="24"/>
              </w:rPr>
              <w:t>mana</w:t>
            </w:r>
            <w:r w:rsidR="00BE1457">
              <w:rPr>
                <w:rFonts w:cstheme="minorHAnsi"/>
                <w:sz w:val="24"/>
                <w:szCs w:val="24"/>
              </w:rPr>
              <w:t xml:space="preserve">gement of mobility and distance </w:t>
            </w:r>
            <w:r w:rsidRPr="001E63A0">
              <w:rPr>
                <w:rFonts w:cstheme="minorHAnsi"/>
                <w:sz w:val="24"/>
                <w:szCs w:val="24"/>
              </w:rPr>
              <w:t>learning.</w:t>
            </w: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200980" w:rsidRPr="001E63A0" w:rsidTr="00273395">
        <w:trPr>
          <w:jc w:val="center"/>
        </w:trPr>
        <w:tc>
          <w:tcPr>
            <w:tcW w:w="6079" w:type="dxa"/>
          </w:tcPr>
          <w:p w:rsidR="00200980" w:rsidRPr="001E63A0" w:rsidRDefault="00200980" w:rsidP="002009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The sc</w:t>
            </w:r>
            <w:r w:rsidR="00BE1457">
              <w:rPr>
                <w:rFonts w:cstheme="minorHAnsi"/>
                <w:sz w:val="24"/>
                <w:szCs w:val="24"/>
              </w:rPr>
              <w:t xml:space="preserve">hool is aware of the particular </w:t>
            </w:r>
            <w:r w:rsidRPr="001E63A0">
              <w:rPr>
                <w:rFonts w:cstheme="minorHAnsi"/>
                <w:sz w:val="24"/>
                <w:szCs w:val="24"/>
              </w:rPr>
              <w:t>ch</w:t>
            </w:r>
            <w:r w:rsidR="00BE1457">
              <w:rPr>
                <w:rFonts w:cstheme="minorHAnsi"/>
                <w:sz w:val="24"/>
                <w:szCs w:val="24"/>
              </w:rPr>
              <w:t xml:space="preserve">allenges regarding transition for Gypsy, Roma and </w:t>
            </w:r>
            <w:r w:rsidRPr="001E63A0">
              <w:rPr>
                <w:rFonts w:cstheme="minorHAnsi"/>
                <w:sz w:val="24"/>
                <w:szCs w:val="24"/>
              </w:rPr>
              <w:t>Travelle</w:t>
            </w:r>
            <w:r w:rsidR="00BE1457">
              <w:rPr>
                <w:rFonts w:cstheme="minorHAnsi"/>
                <w:sz w:val="24"/>
                <w:szCs w:val="24"/>
              </w:rPr>
              <w:t xml:space="preserve">r pupils and works closely with </w:t>
            </w:r>
            <w:r w:rsidRPr="001E63A0">
              <w:rPr>
                <w:rFonts w:cstheme="minorHAnsi"/>
                <w:sz w:val="24"/>
                <w:szCs w:val="24"/>
              </w:rPr>
              <w:t xml:space="preserve">other </w:t>
            </w:r>
            <w:r w:rsidR="00BE1457">
              <w:rPr>
                <w:rFonts w:cstheme="minorHAnsi"/>
                <w:sz w:val="24"/>
                <w:szCs w:val="24"/>
              </w:rPr>
              <w:t xml:space="preserve">schools and settings to support </w:t>
            </w:r>
            <w:r w:rsidRPr="001E63A0">
              <w:rPr>
                <w:rFonts w:cstheme="minorHAnsi"/>
                <w:sz w:val="24"/>
                <w:szCs w:val="24"/>
              </w:rPr>
              <w:t>pupils who may be at risk.</w:t>
            </w: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200980" w:rsidRPr="001E63A0" w:rsidTr="00273395">
        <w:trPr>
          <w:jc w:val="center"/>
        </w:trPr>
        <w:tc>
          <w:tcPr>
            <w:tcW w:w="6079" w:type="dxa"/>
          </w:tcPr>
          <w:p w:rsidR="00200980" w:rsidRPr="001E63A0" w:rsidRDefault="00273395" w:rsidP="002009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Racist incidents are reported, </w:t>
            </w:r>
            <w:r w:rsidR="00200980" w:rsidRPr="001E63A0">
              <w:rPr>
                <w:rFonts w:cstheme="minorHAnsi"/>
                <w:sz w:val="24"/>
                <w:szCs w:val="24"/>
              </w:rPr>
              <w:t>mon</w:t>
            </w:r>
            <w:r w:rsidR="00BE1457">
              <w:rPr>
                <w:rFonts w:cstheme="minorHAnsi"/>
                <w:sz w:val="24"/>
                <w:szCs w:val="24"/>
              </w:rPr>
              <w:t xml:space="preserve">itored and managed effectively. Racism awareness and respect is </w:t>
            </w:r>
            <w:r w:rsidR="00200980" w:rsidRPr="001E63A0">
              <w:rPr>
                <w:rFonts w:cstheme="minorHAnsi"/>
                <w:sz w:val="24"/>
                <w:szCs w:val="24"/>
              </w:rPr>
              <w:t>taught within the curriculum.</w:t>
            </w: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200980" w:rsidRPr="001E63A0" w:rsidTr="00273395">
        <w:trPr>
          <w:jc w:val="center"/>
        </w:trPr>
        <w:tc>
          <w:tcPr>
            <w:tcW w:w="6079" w:type="dxa"/>
          </w:tcPr>
          <w:p w:rsidR="00200980" w:rsidRPr="001E63A0" w:rsidRDefault="00273395" w:rsidP="002009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Classroom and corridor displays </w:t>
            </w:r>
            <w:r w:rsidR="00200980" w:rsidRPr="001E63A0">
              <w:rPr>
                <w:rFonts w:cstheme="minorHAnsi"/>
                <w:sz w:val="24"/>
                <w:szCs w:val="24"/>
              </w:rPr>
              <w:t>po</w:t>
            </w:r>
            <w:r>
              <w:rPr>
                <w:rFonts w:cstheme="minorHAnsi"/>
                <w:sz w:val="24"/>
                <w:szCs w:val="24"/>
              </w:rPr>
              <w:t xml:space="preserve">sitively reflect the languages, </w:t>
            </w:r>
            <w:r w:rsidR="00200980" w:rsidRPr="001E63A0">
              <w:rPr>
                <w:rFonts w:cstheme="minorHAnsi"/>
                <w:sz w:val="24"/>
                <w:szCs w:val="24"/>
              </w:rPr>
              <w:t>exp</w:t>
            </w:r>
            <w:r>
              <w:rPr>
                <w:rFonts w:cstheme="minorHAnsi"/>
                <w:sz w:val="24"/>
                <w:szCs w:val="24"/>
              </w:rPr>
              <w:t xml:space="preserve">eriences and heritage of Gypsy, </w:t>
            </w:r>
            <w:r w:rsidR="00200980" w:rsidRPr="001E63A0">
              <w:rPr>
                <w:rFonts w:cstheme="minorHAnsi"/>
                <w:sz w:val="24"/>
                <w:szCs w:val="24"/>
              </w:rPr>
              <w:t>Roma and Traveller pupils.</w:t>
            </w: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980" w:rsidRPr="001E63A0" w:rsidRDefault="00200980" w:rsidP="0027339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</w:tbl>
    <w:p w:rsidR="00200980" w:rsidRPr="001E63A0" w:rsidRDefault="00200980" w:rsidP="00A02F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7A394"/>
          <w:sz w:val="24"/>
          <w:szCs w:val="24"/>
        </w:rPr>
      </w:pPr>
    </w:p>
    <w:p w:rsidR="00C13DC4" w:rsidRDefault="00C13DC4" w:rsidP="00A02F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200980" w:rsidRPr="00903EC4" w:rsidRDefault="001E63A0" w:rsidP="00A02F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903EC4"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>Using data to target groups and track progress</w:t>
      </w:r>
    </w:p>
    <w:p w:rsidR="001E63A0" w:rsidRPr="00903EC4" w:rsidRDefault="001E63A0" w:rsidP="00A02FA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jc w:val="center"/>
        <w:tblInd w:w="-2120" w:type="dxa"/>
        <w:tblLook w:val="04A0" w:firstRow="1" w:lastRow="0" w:firstColumn="1" w:lastColumn="0" w:noHBand="0" w:noVBand="1"/>
      </w:tblPr>
      <w:tblGrid>
        <w:gridCol w:w="6080"/>
        <w:gridCol w:w="1418"/>
        <w:gridCol w:w="1418"/>
        <w:gridCol w:w="1418"/>
      </w:tblGrid>
      <w:tr w:rsidR="00C13DC4" w:rsidRPr="00C13DC4" w:rsidTr="00C13DC4">
        <w:trPr>
          <w:jc w:val="center"/>
        </w:trPr>
        <w:tc>
          <w:tcPr>
            <w:tcW w:w="6080" w:type="dxa"/>
            <w:shd w:val="clear" w:color="auto" w:fill="D9D9D9" w:themeFill="background1" w:themeFillShade="D9"/>
          </w:tcPr>
          <w:p w:rsidR="001E63A0" w:rsidRPr="00C13DC4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C13DC4">
              <w:rPr>
                <w:rFonts w:cstheme="minorHAnsi"/>
                <w:b/>
                <w:bCs/>
                <w:sz w:val="24"/>
                <w:szCs w:val="24"/>
              </w:rPr>
              <w:t>Self evaluation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E63A0" w:rsidRPr="00C13DC4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C13DC4">
              <w:rPr>
                <w:rFonts w:cstheme="minorHAnsi"/>
                <w:b/>
                <w:bCs/>
                <w:sz w:val="24"/>
                <w:szCs w:val="24"/>
              </w:rPr>
              <w:t xml:space="preserve">Well developed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E63A0" w:rsidRPr="00C13DC4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C13DC4">
              <w:rPr>
                <w:rFonts w:cstheme="minorHAnsi"/>
                <w:b/>
                <w:bCs/>
                <w:sz w:val="24"/>
                <w:szCs w:val="24"/>
              </w:rPr>
              <w:t>Developing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E63A0" w:rsidRPr="00C13DC4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C13DC4">
              <w:rPr>
                <w:rFonts w:cstheme="minorHAnsi"/>
                <w:b/>
                <w:bCs/>
                <w:sz w:val="24"/>
                <w:szCs w:val="24"/>
              </w:rPr>
              <w:t>Not yet in place</w:t>
            </w:r>
          </w:p>
        </w:tc>
      </w:tr>
      <w:tr w:rsidR="001E63A0" w:rsidRPr="001E63A0" w:rsidTr="00D33E8A">
        <w:trPr>
          <w:jc w:val="center"/>
        </w:trPr>
        <w:tc>
          <w:tcPr>
            <w:tcW w:w="6080" w:type="dxa"/>
          </w:tcPr>
          <w:p w:rsidR="001E63A0" w:rsidRPr="001E63A0" w:rsidRDefault="00D33E8A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school has robust and </w:t>
            </w:r>
            <w:r w:rsidR="001E63A0" w:rsidRPr="001E63A0">
              <w:rPr>
                <w:rFonts w:cstheme="minorHAnsi"/>
                <w:sz w:val="24"/>
                <w:szCs w:val="24"/>
              </w:rPr>
              <w:t>sensitive systems for collecting</w:t>
            </w:r>
          </w:p>
          <w:p w:rsidR="001E63A0" w:rsidRPr="001E63A0" w:rsidRDefault="00D33E8A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contextual data for Gypsy, </w:t>
            </w:r>
            <w:r w:rsidR="001E63A0" w:rsidRPr="001E63A0">
              <w:rPr>
                <w:rFonts w:cstheme="minorHAnsi"/>
                <w:sz w:val="24"/>
                <w:szCs w:val="24"/>
              </w:rPr>
              <w:t>Roma and Traveller pupils such</w:t>
            </w:r>
          </w:p>
          <w:p w:rsidR="001E63A0" w:rsidRPr="00D33E8A" w:rsidRDefault="00D33E8A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 previous schooling and first </w:t>
            </w:r>
            <w:r w:rsidR="001E63A0" w:rsidRPr="001E63A0">
              <w:rPr>
                <w:rFonts w:cstheme="minorHAnsi"/>
                <w:sz w:val="24"/>
                <w:szCs w:val="24"/>
              </w:rPr>
              <w:t>language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1E63A0" w:rsidRPr="001E63A0" w:rsidTr="00D33E8A">
        <w:trPr>
          <w:jc w:val="center"/>
        </w:trPr>
        <w:tc>
          <w:tcPr>
            <w:tcW w:w="6080" w:type="dxa"/>
          </w:tcPr>
          <w:p w:rsidR="001E63A0" w:rsidRPr="00D33E8A" w:rsidRDefault="00D33E8A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school has an established timeline for the collection and analysis of achievement</w:t>
            </w:r>
            <w:r w:rsidR="001E63A0" w:rsidRPr="001E63A0">
              <w:rPr>
                <w:rFonts w:cstheme="minorHAnsi"/>
                <w:sz w:val="24"/>
                <w:szCs w:val="24"/>
              </w:rPr>
              <w:t xml:space="preserve"> data.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1E63A0" w:rsidRPr="001E63A0" w:rsidTr="00D33E8A">
        <w:trPr>
          <w:jc w:val="center"/>
        </w:trPr>
        <w:tc>
          <w:tcPr>
            <w:tcW w:w="6080" w:type="dxa"/>
          </w:tcPr>
          <w:p w:rsidR="001E63A0" w:rsidRPr="00D33E8A" w:rsidRDefault="00D33E8A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school analyses achievement data by ethnicity including Gypsy or Roma and Traveller of Irish heritage to ensure an accurate </w:t>
            </w:r>
            <w:r w:rsidR="001E63A0" w:rsidRPr="001E63A0">
              <w:rPr>
                <w:rFonts w:cstheme="minorHAnsi"/>
                <w:sz w:val="24"/>
                <w:szCs w:val="24"/>
              </w:rPr>
              <w:t>picture of progress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E63A0" w:rsidRPr="001E63A0">
              <w:rPr>
                <w:rFonts w:cstheme="minorHAnsi"/>
                <w:sz w:val="24"/>
                <w:szCs w:val="24"/>
              </w:rPr>
              <w:t>attainment across all years.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1E63A0" w:rsidRPr="001E63A0" w:rsidTr="00D33E8A">
        <w:trPr>
          <w:jc w:val="center"/>
        </w:trPr>
        <w:tc>
          <w:tcPr>
            <w:tcW w:w="6080" w:type="dxa"/>
          </w:tcPr>
          <w:p w:rsidR="001E63A0" w:rsidRPr="001E63A0" w:rsidRDefault="001E63A0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The leadership team analyses</w:t>
            </w:r>
            <w:r w:rsidR="00D33E8A">
              <w:rPr>
                <w:rFonts w:cstheme="minorHAnsi"/>
                <w:sz w:val="24"/>
                <w:szCs w:val="24"/>
              </w:rPr>
              <w:t xml:space="preserve"> achievement</w:t>
            </w:r>
            <w:r w:rsidRPr="001E63A0">
              <w:rPr>
                <w:rFonts w:cstheme="minorHAnsi"/>
                <w:sz w:val="24"/>
                <w:szCs w:val="24"/>
              </w:rPr>
              <w:t xml:space="preserve"> data to identify</w:t>
            </w:r>
          </w:p>
          <w:p w:rsidR="001E63A0" w:rsidRPr="00D33E8A" w:rsidRDefault="00D33E8A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trends in relation to subjects, key stages, year groups or classes and ensures that targeted action is taken as a </w:t>
            </w:r>
            <w:r w:rsidR="001E63A0" w:rsidRPr="001E63A0">
              <w:rPr>
                <w:rFonts w:cstheme="minorHAnsi"/>
                <w:sz w:val="24"/>
                <w:szCs w:val="24"/>
              </w:rPr>
              <w:t>result.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1E63A0" w:rsidRPr="001E63A0" w:rsidTr="00D33E8A">
        <w:trPr>
          <w:jc w:val="center"/>
        </w:trPr>
        <w:tc>
          <w:tcPr>
            <w:tcW w:w="6080" w:type="dxa"/>
          </w:tcPr>
          <w:p w:rsidR="001E63A0" w:rsidRPr="001E63A0" w:rsidRDefault="00D33E8A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Targets are set for the achievement</w:t>
            </w:r>
            <w:r w:rsidR="001E63A0" w:rsidRPr="001E63A0">
              <w:rPr>
                <w:rFonts w:cstheme="minorHAnsi"/>
                <w:sz w:val="24"/>
                <w:szCs w:val="24"/>
              </w:rPr>
              <w:t xml:space="preserve"> of Gypsy, Roma and</w:t>
            </w:r>
          </w:p>
          <w:p w:rsidR="001E63A0" w:rsidRPr="00D33E8A" w:rsidRDefault="001E63A0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T</w:t>
            </w:r>
            <w:r w:rsidR="00D33E8A">
              <w:rPr>
                <w:rFonts w:cstheme="minorHAnsi"/>
                <w:sz w:val="24"/>
                <w:szCs w:val="24"/>
              </w:rPr>
              <w:t xml:space="preserve">raveller pupils and progress is </w:t>
            </w:r>
            <w:r w:rsidRPr="001E63A0">
              <w:rPr>
                <w:rFonts w:cstheme="minorHAnsi"/>
                <w:sz w:val="24"/>
                <w:szCs w:val="24"/>
              </w:rPr>
              <w:t>rigorously monitored.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1E63A0" w:rsidRPr="001E63A0" w:rsidTr="00D33E8A">
        <w:trPr>
          <w:jc w:val="center"/>
        </w:trPr>
        <w:tc>
          <w:tcPr>
            <w:tcW w:w="6080" w:type="dxa"/>
          </w:tcPr>
          <w:p w:rsidR="001E63A0" w:rsidRPr="00D33E8A" w:rsidRDefault="00D33E8A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school is aware of the key </w:t>
            </w:r>
            <w:r w:rsidR="001E63A0" w:rsidRPr="001E63A0">
              <w:rPr>
                <w:rFonts w:cstheme="minorHAnsi"/>
                <w:sz w:val="24"/>
                <w:szCs w:val="24"/>
              </w:rPr>
              <w:t>issue</w:t>
            </w:r>
            <w:r>
              <w:rPr>
                <w:rFonts w:cstheme="minorHAnsi"/>
                <w:sz w:val="24"/>
                <w:szCs w:val="24"/>
              </w:rPr>
              <w:t xml:space="preserve">s regarding the </w:t>
            </w:r>
            <w:proofErr w:type="spellStart"/>
            <w:r>
              <w:rPr>
                <w:rFonts w:cstheme="minorHAnsi"/>
                <w:sz w:val="24"/>
                <w:szCs w:val="24"/>
              </w:rPr>
              <w:t>underascription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of Gypsy, Roma and Traveller groups to Gypsy, Roma and Traveller of Irish heritage </w:t>
            </w:r>
            <w:r w:rsidR="001E63A0" w:rsidRPr="001E63A0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 xml:space="preserve">ategories and strategies are in place to improve the accuracy </w:t>
            </w:r>
            <w:r w:rsidR="001E63A0" w:rsidRPr="001E63A0">
              <w:rPr>
                <w:rFonts w:cstheme="minorHAnsi"/>
                <w:sz w:val="24"/>
                <w:szCs w:val="24"/>
              </w:rPr>
              <w:t>of self-ascription.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1E63A0" w:rsidRPr="001E63A0" w:rsidTr="00D33E8A">
        <w:trPr>
          <w:jc w:val="center"/>
        </w:trPr>
        <w:tc>
          <w:tcPr>
            <w:tcW w:w="6080" w:type="dxa"/>
          </w:tcPr>
          <w:p w:rsidR="001E63A0" w:rsidRPr="001E63A0" w:rsidRDefault="00D33E8A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school has an accurate </w:t>
            </w:r>
            <w:r w:rsidR="001E63A0" w:rsidRPr="001E63A0">
              <w:rPr>
                <w:rFonts w:cstheme="minorHAnsi"/>
                <w:sz w:val="24"/>
                <w:szCs w:val="24"/>
              </w:rPr>
              <w:t>overview of its Gypsy, Roma</w:t>
            </w:r>
          </w:p>
          <w:p w:rsidR="001E63A0" w:rsidRPr="001E63A0" w:rsidRDefault="001E63A0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a</w:t>
            </w:r>
            <w:r w:rsidR="00D33E8A">
              <w:rPr>
                <w:rFonts w:cstheme="minorHAnsi"/>
                <w:sz w:val="24"/>
                <w:szCs w:val="24"/>
              </w:rPr>
              <w:t xml:space="preserve">nd Traveller pupil profile that </w:t>
            </w:r>
            <w:r w:rsidRPr="001E63A0">
              <w:rPr>
                <w:rFonts w:cstheme="minorHAnsi"/>
                <w:sz w:val="24"/>
                <w:szCs w:val="24"/>
              </w:rPr>
              <w:t>includes school census and</w:t>
            </w:r>
          </w:p>
          <w:p w:rsidR="001E63A0" w:rsidRPr="00D33E8A" w:rsidRDefault="00D33E8A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non-school census groups, accommodation, mobility </w:t>
            </w:r>
            <w:r w:rsidR="001E63A0" w:rsidRPr="001E63A0">
              <w:rPr>
                <w:rFonts w:cstheme="minorHAnsi"/>
                <w:sz w:val="24"/>
                <w:szCs w:val="24"/>
              </w:rPr>
              <w:t>patterns and first languages.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1E63A0" w:rsidRPr="001E63A0" w:rsidTr="00D33E8A">
        <w:trPr>
          <w:jc w:val="center"/>
        </w:trPr>
        <w:tc>
          <w:tcPr>
            <w:tcW w:w="6080" w:type="dxa"/>
          </w:tcPr>
          <w:p w:rsidR="001E63A0" w:rsidRPr="001E63A0" w:rsidRDefault="001E63A0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The school mo</w:t>
            </w:r>
            <w:r w:rsidR="00D33E8A">
              <w:rPr>
                <w:rFonts w:cstheme="minorHAnsi"/>
                <w:sz w:val="24"/>
                <w:szCs w:val="24"/>
              </w:rPr>
              <w:t xml:space="preserve">nitors the </w:t>
            </w:r>
            <w:r w:rsidRPr="001E63A0">
              <w:rPr>
                <w:rFonts w:cstheme="minorHAnsi"/>
                <w:sz w:val="24"/>
                <w:szCs w:val="24"/>
              </w:rPr>
              <w:t>attendance and exclusions</w:t>
            </w:r>
          </w:p>
          <w:p w:rsidR="001E63A0" w:rsidRPr="001E63A0" w:rsidRDefault="00D33E8A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of Gypsy, Roma and Traveller </w:t>
            </w:r>
            <w:r w:rsidR="001E63A0" w:rsidRPr="001E63A0">
              <w:rPr>
                <w:rFonts w:cstheme="minorHAnsi"/>
                <w:sz w:val="24"/>
                <w:szCs w:val="24"/>
              </w:rPr>
              <w:t>pupils.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</w:tbl>
    <w:p w:rsidR="00294539" w:rsidRPr="00EC2DD3" w:rsidRDefault="00294539" w:rsidP="001E63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16"/>
          <w:szCs w:val="16"/>
        </w:rPr>
      </w:pPr>
    </w:p>
    <w:p w:rsidR="00C13DC4" w:rsidRPr="00EC2DD3" w:rsidRDefault="00C13DC4" w:rsidP="001E63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16"/>
          <w:szCs w:val="16"/>
        </w:rPr>
      </w:pPr>
    </w:p>
    <w:p w:rsidR="001E63A0" w:rsidRPr="00903EC4" w:rsidRDefault="001E63A0" w:rsidP="001E63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903EC4">
        <w:rPr>
          <w:rFonts w:cstheme="minorHAnsi"/>
          <w:b/>
          <w:bCs/>
          <w:color w:val="000000" w:themeColor="text1"/>
          <w:sz w:val="28"/>
          <w:szCs w:val="28"/>
        </w:rPr>
        <w:t>Developing learning and teaching</w:t>
      </w:r>
    </w:p>
    <w:p w:rsidR="001E63A0" w:rsidRPr="00903EC4" w:rsidRDefault="001E63A0" w:rsidP="001E63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jc w:val="center"/>
        <w:tblInd w:w="-2094" w:type="dxa"/>
        <w:tblLook w:val="04A0" w:firstRow="1" w:lastRow="0" w:firstColumn="1" w:lastColumn="0" w:noHBand="0" w:noVBand="1"/>
      </w:tblPr>
      <w:tblGrid>
        <w:gridCol w:w="6098"/>
        <w:gridCol w:w="1418"/>
        <w:gridCol w:w="1418"/>
        <w:gridCol w:w="1418"/>
      </w:tblGrid>
      <w:tr w:rsidR="001E63A0" w:rsidRPr="00903EC4" w:rsidTr="00C13DC4">
        <w:trPr>
          <w:jc w:val="center"/>
        </w:trPr>
        <w:tc>
          <w:tcPr>
            <w:tcW w:w="6098" w:type="dxa"/>
            <w:shd w:val="clear" w:color="auto" w:fill="D9D9D9" w:themeFill="background1" w:themeFillShade="D9"/>
          </w:tcPr>
          <w:p w:rsidR="001E63A0" w:rsidRPr="00903EC4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03EC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Self evaluation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E63A0" w:rsidRPr="00903EC4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03EC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Well developed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E63A0" w:rsidRPr="00903EC4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03EC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E63A0" w:rsidRPr="00903EC4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03EC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Not yet in place</w:t>
            </w:r>
          </w:p>
        </w:tc>
      </w:tr>
      <w:tr w:rsidR="001E63A0" w:rsidRPr="001E63A0" w:rsidTr="00294539">
        <w:trPr>
          <w:jc w:val="center"/>
        </w:trPr>
        <w:tc>
          <w:tcPr>
            <w:tcW w:w="6098" w:type="dxa"/>
          </w:tcPr>
          <w:p w:rsidR="001E63A0" w:rsidRPr="00294539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Teache</w:t>
            </w:r>
            <w:r w:rsidR="00294539">
              <w:rPr>
                <w:rFonts w:cstheme="minorHAnsi"/>
                <w:sz w:val="24"/>
                <w:szCs w:val="24"/>
              </w:rPr>
              <w:t xml:space="preserve">rs use a range of strategies to </w:t>
            </w:r>
            <w:r w:rsidRPr="001E63A0">
              <w:rPr>
                <w:rFonts w:cstheme="minorHAnsi"/>
                <w:sz w:val="24"/>
                <w:szCs w:val="24"/>
              </w:rPr>
              <w:t>enga</w:t>
            </w:r>
            <w:r w:rsidR="00294539">
              <w:rPr>
                <w:rFonts w:cstheme="minorHAnsi"/>
                <w:sz w:val="24"/>
                <w:szCs w:val="24"/>
              </w:rPr>
              <w:t xml:space="preserve">ge, motivate and accelerate the </w:t>
            </w:r>
            <w:r w:rsidRPr="001E63A0">
              <w:rPr>
                <w:rFonts w:cstheme="minorHAnsi"/>
                <w:sz w:val="24"/>
                <w:szCs w:val="24"/>
              </w:rPr>
              <w:t>progre</w:t>
            </w:r>
            <w:r w:rsidR="00294539">
              <w:rPr>
                <w:rFonts w:cstheme="minorHAnsi"/>
                <w:sz w:val="24"/>
                <w:szCs w:val="24"/>
              </w:rPr>
              <w:t xml:space="preserve">ss of Gypsy, Roma and Traveller </w:t>
            </w:r>
            <w:r w:rsidRPr="001E63A0">
              <w:rPr>
                <w:rFonts w:cstheme="minorHAnsi"/>
                <w:sz w:val="24"/>
                <w:szCs w:val="24"/>
              </w:rPr>
              <w:t>pupils</w:t>
            </w:r>
            <w:r w:rsidR="00294539">
              <w:rPr>
                <w:rFonts w:cstheme="minorHAnsi"/>
                <w:sz w:val="24"/>
                <w:szCs w:val="24"/>
              </w:rPr>
              <w:t xml:space="preserve">, including the use of distance </w:t>
            </w:r>
            <w:r w:rsidRPr="001E63A0">
              <w:rPr>
                <w:rFonts w:cstheme="minorHAnsi"/>
                <w:sz w:val="24"/>
                <w:szCs w:val="24"/>
              </w:rPr>
              <w:t>learning (using ICT).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1E63A0" w:rsidRPr="001E63A0" w:rsidTr="00294539">
        <w:trPr>
          <w:jc w:val="center"/>
        </w:trPr>
        <w:tc>
          <w:tcPr>
            <w:tcW w:w="6098" w:type="dxa"/>
          </w:tcPr>
          <w:p w:rsidR="001E63A0" w:rsidRPr="00294539" w:rsidRDefault="001E63A0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The cur</w:t>
            </w:r>
            <w:r w:rsidR="00294539">
              <w:rPr>
                <w:rFonts w:cstheme="minorHAnsi"/>
                <w:sz w:val="24"/>
                <w:szCs w:val="24"/>
              </w:rPr>
              <w:t xml:space="preserve">riculum is culturally sensitive </w:t>
            </w:r>
            <w:r w:rsidRPr="001E63A0">
              <w:rPr>
                <w:rFonts w:cstheme="minorHAnsi"/>
                <w:sz w:val="24"/>
                <w:szCs w:val="24"/>
              </w:rPr>
              <w:t>and pr</w:t>
            </w:r>
            <w:r w:rsidR="00294539">
              <w:rPr>
                <w:rFonts w:cstheme="minorHAnsi"/>
                <w:sz w:val="24"/>
                <w:szCs w:val="24"/>
              </w:rPr>
              <w:t xml:space="preserve">ovides opportunities for Gypsy, </w:t>
            </w:r>
            <w:r w:rsidRPr="001E63A0">
              <w:rPr>
                <w:rFonts w:cstheme="minorHAnsi"/>
                <w:sz w:val="24"/>
                <w:szCs w:val="24"/>
              </w:rPr>
              <w:t xml:space="preserve">Roma </w:t>
            </w:r>
            <w:r w:rsidR="00294539">
              <w:rPr>
                <w:rFonts w:cstheme="minorHAnsi"/>
                <w:sz w:val="24"/>
                <w:szCs w:val="24"/>
              </w:rPr>
              <w:t xml:space="preserve">and Traveller pupils to discuss </w:t>
            </w:r>
            <w:r w:rsidRPr="001E63A0">
              <w:rPr>
                <w:rFonts w:cstheme="minorHAnsi"/>
                <w:sz w:val="24"/>
                <w:szCs w:val="24"/>
              </w:rPr>
              <w:t>issues of identity and ethnicity.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1E63A0" w:rsidRPr="001E63A0" w:rsidTr="00294539">
        <w:trPr>
          <w:jc w:val="center"/>
        </w:trPr>
        <w:tc>
          <w:tcPr>
            <w:tcW w:w="6098" w:type="dxa"/>
          </w:tcPr>
          <w:p w:rsidR="001E63A0" w:rsidRPr="00294539" w:rsidRDefault="001E63A0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The cu</w:t>
            </w:r>
            <w:r w:rsidR="00294539">
              <w:rPr>
                <w:rFonts w:cstheme="minorHAnsi"/>
                <w:sz w:val="24"/>
                <w:szCs w:val="24"/>
              </w:rPr>
              <w:t xml:space="preserve">rriculum provides opportunities </w:t>
            </w:r>
            <w:r w:rsidRPr="001E63A0">
              <w:rPr>
                <w:rFonts w:cstheme="minorHAnsi"/>
                <w:sz w:val="24"/>
                <w:szCs w:val="24"/>
              </w:rPr>
              <w:t>for ad</w:t>
            </w:r>
            <w:r w:rsidR="00294539">
              <w:rPr>
                <w:rFonts w:cstheme="minorHAnsi"/>
                <w:sz w:val="24"/>
                <w:szCs w:val="24"/>
              </w:rPr>
              <w:t xml:space="preserve">dressing issues of stereotyping </w:t>
            </w:r>
            <w:r w:rsidRPr="001E63A0">
              <w:rPr>
                <w:rFonts w:cstheme="minorHAnsi"/>
                <w:sz w:val="24"/>
                <w:szCs w:val="24"/>
              </w:rPr>
              <w:t>and racist bullying.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1E63A0" w:rsidRPr="001E63A0" w:rsidTr="00294539">
        <w:trPr>
          <w:jc w:val="center"/>
        </w:trPr>
        <w:tc>
          <w:tcPr>
            <w:tcW w:w="6098" w:type="dxa"/>
          </w:tcPr>
          <w:p w:rsidR="001E63A0" w:rsidRPr="00294539" w:rsidRDefault="001E63A0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For pup</w:t>
            </w:r>
            <w:r w:rsidR="00294539">
              <w:rPr>
                <w:rFonts w:cstheme="minorHAnsi"/>
                <w:sz w:val="24"/>
                <w:szCs w:val="24"/>
              </w:rPr>
              <w:t xml:space="preserve">ils arriving outside the normal </w:t>
            </w:r>
            <w:r w:rsidRPr="001E63A0">
              <w:rPr>
                <w:rFonts w:cstheme="minorHAnsi"/>
                <w:sz w:val="24"/>
                <w:szCs w:val="24"/>
              </w:rPr>
              <w:t>admiss</w:t>
            </w:r>
            <w:r w:rsidR="00294539">
              <w:rPr>
                <w:rFonts w:cstheme="minorHAnsi"/>
                <w:sz w:val="24"/>
                <w:szCs w:val="24"/>
              </w:rPr>
              <w:t xml:space="preserve">ion times, assessment is quick, </w:t>
            </w:r>
            <w:r w:rsidRPr="001E63A0">
              <w:rPr>
                <w:rFonts w:cstheme="minorHAnsi"/>
                <w:sz w:val="24"/>
                <w:szCs w:val="24"/>
              </w:rPr>
              <w:t>accurate and effective.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1E63A0" w:rsidRPr="001E63A0" w:rsidTr="00294539">
        <w:trPr>
          <w:jc w:val="center"/>
        </w:trPr>
        <w:tc>
          <w:tcPr>
            <w:tcW w:w="6098" w:type="dxa"/>
          </w:tcPr>
          <w:p w:rsidR="001E63A0" w:rsidRPr="00294539" w:rsidRDefault="001E63A0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R</w:t>
            </w:r>
            <w:r w:rsidR="00294539">
              <w:rPr>
                <w:rFonts w:cstheme="minorHAnsi"/>
                <w:sz w:val="24"/>
                <w:szCs w:val="24"/>
              </w:rPr>
              <w:t xml:space="preserve">obust assessment information is </w:t>
            </w:r>
            <w:r w:rsidRPr="001E63A0">
              <w:rPr>
                <w:rFonts w:cstheme="minorHAnsi"/>
                <w:sz w:val="24"/>
                <w:szCs w:val="24"/>
              </w:rPr>
              <w:t>used to</w:t>
            </w:r>
            <w:r w:rsidR="00294539">
              <w:rPr>
                <w:rFonts w:cstheme="minorHAnsi"/>
                <w:sz w:val="24"/>
                <w:szCs w:val="24"/>
              </w:rPr>
              <w:t xml:space="preserve"> identify gaps in learning, set </w:t>
            </w:r>
            <w:r w:rsidRPr="001E63A0">
              <w:rPr>
                <w:rFonts w:cstheme="minorHAnsi"/>
                <w:sz w:val="24"/>
                <w:szCs w:val="24"/>
              </w:rPr>
              <w:t>app</w:t>
            </w:r>
            <w:r w:rsidR="00294539">
              <w:rPr>
                <w:rFonts w:cstheme="minorHAnsi"/>
                <w:sz w:val="24"/>
                <w:szCs w:val="24"/>
              </w:rPr>
              <w:t xml:space="preserve">ropriate individual targets and </w:t>
            </w:r>
            <w:r w:rsidRPr="001E63A0">
              <w:rPr>
                <w:rFonts w:cstheme="minorHAnsi"/>
                <w:sz w:val="24"/>
                <w:szCs w:val="24"/>
              </w:rPr>
              <w:t xml:space="preserve">plan </w:t>
            </w:r>
            <w:r w:rsidR="00294539">
              <w:rPr>
                <w:rFonts w:cstheme="minorHAnsi"/>
                <w:sz w:val="24"/>
                <w:szCs w:val="24"/>
              </w:rPr>
              <w:t xml:space="preserve">appropriate interventions where </w:t>
            </w:r>
            <w:r w:rsidRPr="001E63A0">
              <w:rPr>
                <w:rFonts w:cstheme="minorHAnsi"/>
                <w:sz w:val="24"/>
                <w:szCs w:val="24"/>
              </w:rPr>
              <w:t>necessary.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1E63A0" w:rsidRPr="001E63A0" w:rsidTr="00294539">
        <w:trPr>
          <w:jc w:val="center"/>
        </w:trPr>
        <w:tc>
          <w:tcPr>
            <w:tcW w:w="6098" w:type="dxa"/>
          </w:tcPr>
          <w:p w:rsidR="001E63A0" w:rsidRPr="00294539" w:rsidRDefault="001E63A0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lastRenderedPageBreak/>
              <w:t>A ra</w:t>
            </w:r>
            <w:r w:rsidR="00294539">
              <w:rPr>
                <w:rFonts w:cstheme="minorHAnsi"/>
                <w:sz w:val="24"/>
                <w:szCs w:val="24"/>
              </w:rPr>
              <w:t xml:space="preserve">nge of support and intervention </w:t>
            </w:r>
            <w:r w:rsidRPr="001E63A0">
              <w:rPr>
                <w:rFonts w:cstheme="minorHAnsi"/>
                <w:sz w:val="24"/>
                <w:szCs w:val="24"/>
              </w:rPr>
              <w:t>programmes are used to accelerate</w:t>
            </w:r>
            <w:r w:rsidR="00294539">
              <w:rPr>
                <w:rFonts w:cstheme="minorHAnsi"/>
                <w:sz w:val="24"/>
                <w:szCs w:val="24"/>
              </w:rPr>
              <w:t xml:space="preserve"> </w:t>
            </w:r>
            <w:r w:rsidRPr="001E63A0">
              <w:rPr>
                <w:rFonts w:cstheme="minorHAnsi"/>
                <w:sz w:val="24"/>
                <w:szCs w:val="24"/>
              </w:rPr>
              <w:t>the progress of Gypsy, Roma and</w:t>
            </w:r>
            <w:r w:rsidR="00294539">
              <w:rPr>
                <w:rFonts w:cstheme="minorHAnsi"/>
                <w:sz w:val="24"/>
                <w:szCs w:val="24"/>
              </w:rPr>
              <w:t xml:space="preserve"> </w:t>
            </w:r>
            <w:r w:rsidRPr="001E63A0">
              <w:rPr>
                <w:rFonts w:cstheme="minorHAnsi"/>
                <w:sz w:val="24"/>
                <w:szCs w:val="24"/>
              </w:rPr>
              <w:t xml:space="preserve">Traveller </w:t>
            </w:r>
            <w:r w:rsidR="00294539">
              <w:rPr>
                <w:rFonts w:cstheme="minorHAnsi"/>
                <w:sz w:val="24"/>
                <w:szCs w:val="24"/>
              </w:rPr>
              <w:t xml:space="preserve">pupils and the impact of these </w:t>
            </w:r>
            <w:r w:rsidRPr="001E63A0">
              <w:rPr>
                <w:rFonts w:cstheme="minorHAnsi"/>
                <w:sz w:val="24"/>
                <w:szCs w:val="24"/>
              </w:rPr>
              <w:t>interventions is reviewed regularly.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1E63A0" w:rsidRPr="001E63A0" w:rsidTr="00294539">
        <w:trPr>
          <w:jc w:val="center"/>
        </w:trPr>
        <w:tc>
          <w:tcPr>
            <w:tcW w:w="6098" w:type="dxa"/>
          </w:tcPr>
          <w:p w:rsidR="001E63A0" w:rsidRPr="001E63A0" w:rsidRDefault="001E63A0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Tea</w:t>
            </w:r>
            <w:r w:rsidR="00294539">
              <w:rPr>
                <w:rFonts w:cstheme="minorHAnsi"/>
                <w:sz w:val="24"/>
                <w:szCs w:val="24"/>
              </w:rPr>
              <w:t xml:space="preserve">chers have high expectations of </w:t>
            </w:r>
            <w:r w:rsidRPr="001E63A0">
              <w:rPr>
                <w:rFonts w:cstheme="minorHAnsi"/>
                <w:sz w:val="24"/>
                <w:szCs w:val="24"/>
              </w:rPr>
              <w:t>Gypsy</w:t>
            </w:r>
            <w:r w:rsidR="00294539">
              <w:rPr>
                <w:rFonts w:cstheme="minorHAnsi"/>
                <w:sz w:val="24"/>
                <w:szCs w:val="24"/>
              </w:rPr>
              <w:t xml:space="preserve">, Roma and Traveller pupils and </w:t>
            </w:r>
            <w:r w:rsidRPr="001E63A0">
              <w:rPr>
                <w:rFonts w:cstheme="minorHAnsi"/>
                <w:sz w:val="24"/>
                <w:szCs w:val="24"/>
              </w:rPr>
              <w:t>ensure they are engaged in active</w:t>
            </w:r>
          </w:p>
          <w:p w:rsidR="001E63A0" w:rsidRPr="001E63A0" w:rsidRDefault="001E63A0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learni</w:t>
            </w:r>
            <w:r w:rsidR="00294539">
              <w:rPr>
                <w:rFonts w:cstheme="minorHAnsi"/>
                <w:sz w:val="24"/>
                <w:szCs w:val="24"/>
              </w:rPr>
              <w:t xml:space="preserve">ng, with enhanced opportunities </w:t>
            </w:r>
            <w:r w:rsidRPr="001E63A0">
              <w:rPr>
                <w:rFonts w:cstheme="minorHAnsi"/>
                <w:sz w:val="24"/>
                <w:szCs w:val="24"/>
              </w:rPr>
              <w:t xml:space="preserve">for </w:t>
            </w:r>
            <w:r w:rsidR="00294539">
              <w:rPr>
                <w:rFonts w:cstheme="minorHAnsi"/>
                <w:sz w:val="24"/>
                <w:szCs w:val="24"/>
              </w:rPr>
              <w:t xml:space="preserve">speaking and listening and with </w:t>
            </w:r>
            <w:r w:rsidRPr="001E63A0">
              <w:rPr>
                <w:rFonts w:cstheme="minorHAnsi"/>
                <w:sz w:val="24"/>
                <w:szCs w:val="24"/>
              </w:rPr>
              <w:t>effective models of spoken and written</w:t>
            </w:r>
          </w:p>
          <w:p w:rsidR="001E63A0" w:rsidRPr="001E63A0" w:rsidRDefault="001E63A0" w:rsidP="001E63A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language.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1E63A0" w:rsidRPr="001E63A0" w:rsidTr="00294539">
        <w:trPr>
          <w:jc w:val="center"/>
        </w:trPr>
        <w:tc>
          <w:tcPr>
            <w:tcW w:w="6098" w:type="dxa"/>
          </w:tcPr>
          <w:p w:rsidR="001E63A0" w:rsidRPr="001E63A0" w:rsidRDefault="001E63A0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The Gypsy, Roma and Tra</w:t>
            </w:r>
            <w:r w:rsidR="00294539">
              <w:rPr>
                <w:rFonts w:cstheme="minorHAnsi"/>
                <w:sz w:val="24"/>
                <w:szCs w:val="24"/>
              </w:rPr>
              <w:t xml:space="preserve">veller pupils’ own interests, learning styles and </w:t>
            </w:r>
            <w:r w:rsidRPr="001E63A0">
              <w:rPr>
                <w:rFonts w:cstheme="minorHAnsi"/>
                <w:sz w:val="24"/>
                <w:szCs w:val="24"/>
              </w:rPr>
              <w:t>skills are valued and used to develop a</w:t>
            </w:r>
          </w:p>
          <w:p w:rsidR="001E63A0" w:rsidRPr="001E63A0" w:rsidRDefault="001E63A0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E63A0">
              <w:rPr>
                <w:rFonts w:cstheme="minorHAnsi"/>
                <w:sz w:val="24"/>
                <w:szCs w:val="24"/>
              </w:rPr>
              <w:t>personal</w:t>
            </w:r>
            <w:r w:rsidR="00294539">
              <w:rPr>
                <w:rFonts w:cstheme="minorHAnsi"/>
                <w:sz w:val="24"/>
                <w:szCs w:val="24"/>
              </w:rPr>
              <w:t xml:space="preserve">ised learning experience. Staff </w:t>
            </w:r>
            <w:r w:rsidRPr="001E63A0">
              <w:rPr>
                <w:rFonts w:cstheme="minorHAnsi"/>
                <w:sz w:val="24"/>
                <w:szCs w:val="24"/>
              </w:rPr>
              <w:t>consu</w:t>
            </w:r>
            <w:r w:rsidR="00294539">
              <w:rPr>
                <w:rFonts w:cstheme="minorHAnsi"/>
                <w:sz w:val="24"/>
                <w:szCs w:val="24"/>
              </w:rPr>
              <w:t xml:space="preserve">lt with pupils about what helps </w:t>
            </w:r>
            <w:r w:rsidRPr="001E63A0">
              <w:rPr>
                <w:rFonts w:cstheme="minorHAnsi"/>
                <w:sz w:val="24"/>
                <w:szCs w:val="24"/>
              </w:rPr>
              <w:t>them to learn effectively.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</w:tbl>
    <w:p w:rsidR="001E63A0" w:rsidRPr="00EC2DD3" w:rsidRDefault="001E63A0" w:rsidP="001E63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16"/>
          <w:szCs w:val="16"/>
        </w:rPr>
      </w:pPr>
    </w:p>
    <w:p w:rsidR="001E63A0" w:rsidRPr="00EC2DD3" w:rsidRDefault="001E63A0" w:rsidP="001E63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16"/>
          <w:szCs w:val="16"/>
        </w:rPr>
      </w:pPr>
    </w:p>
    <w:p w:rsidR="001E63A0" w:rsidRDefault="001E63A0" w:rsidP="001E63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903EC4">
        <w:rPr>
          <w:rFonts w:cstheme="minorHAnsi"/>
          <w:b/>
          <w:bCs/>
          <w:color w:val="000000" w:themeColor="text1"/>
          <w:sz w:val="28"/>
          <w:szCs w:val="28"/>
        </w:rPr>
        <w:t>Effective partnership with parents and community</w:t>
      </w:r>
    </w:p>
    <w:p w:rsidR="00903EC4" w:rsidRPr="00903EC4" w:rsidRDefault="00903EC4" w:rsidP="001E63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16"/>
          <w:szCs w:val="16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Ind w:w="-2069" w:type="dxa"/>
        <w:tblLook w:val="04A0" w:firstRow="1" w:lastRow="0" w:firstColumn="1" w:lastColumn="0" w:noHBand="0" w:noVBand="1"/>
      </w:tblPr>
      <w:tblGrid>
        <w:gridCol w:w="6058"/>
        <w:gridCol w:w="1418"/>
        <w:gridCol w:w="1418"/>
        <w:gridCol w:w="1418"/>
      </w:tblGrid>
      <w:tr w:rsidR="001E63A0" w:rsidRPr="00903EC4" w:rsidTr="00C13DC4">
        <w:trPr>
          <w:jc w:val="center"/>
        </w:trPr>
        <w:tc>
          <w:tcPr>
            <w:tcW w:w="6058" w:type="dxa"/>
            <w:shd w:val="clear" w:color="auto" w:fill="D9D9D9" w:themeFill="background1" w:themeFillShade="D9"/>
          </w:tcPr>
          <w:p w:rsidR="001E63A0" w:rsidRPr="00903EC4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03EC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Self evaluation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E63A0" w:rsidRPr="00903EC4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03EC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Well developed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E63A0" w:rsidRPr="00903EC4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03EC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E63A0" w:rsidRPr="00903EC4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03EC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Not yet in place</w:t>
            </w:r>
          </w:p>
        </w:tc>
      </w:tr>
      <w:tr w:rsidR="001E63A0" w:rsidRPr="001E63A0" w:rsidTr="00555AC5">
        <w:trPr>
          <w:jc w:val="center"/>
        </w:trPr>
        <w:tc>
          <w:tcPr>
            <w:tcW w:w="6058" w:type="dxa"/>
          </w:tcPr>
          <w:p w:rsidR="001E63A0" w:rsidRPr="001E63A0" w:rsidRDefault="00555AC5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school creates opportunities to ensure that Gypsy, Roma and Traveller parents/</w:t>
            </w:r>
            <w:r w:rsidR="001E63A0" w:rsidRPr="001E63A0">
              <w:rPr>
                <w:rFonts w:cstheme="minorHAnsi"/>
                <w:sz w:val="24"/>
                <w:szCs w:val="24"/>
              </w:rPr>
              <w:t>carers are aware of their</w:t>
            </w:r>
          </w:p>
          <w:p w:rsidR="001E63A0" w:rsidRPr="00555AC5" w:rsidRDefault="00555AC5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children’s progress and creates opportunities to support their involvement in their c</w:t>
            </w:r>
            <w:r w:rsidR="001E63A0" w:rsidRPr="001E63A0">
              <w:rPr>
                <w:rFonts w:cstheme="minorHAnsi"/>
                <w:sz w:val="24"/>
                <w:szCs w:val="24"/>
              </w:rPr>
              <w:t>hildren’s learning.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1E63A0" w:rsidRPr="001E63A0" w:rsidTr="00555AC5">
        <w:trPr>
          <w:jc w:val="center"/>
        </w:trPr>
        <w:tc>
          <w:tcPr>
            <w:tcW w:w="6058" w:type="dxa"/>
          </w:tcPr>
          <w:p w:rsidR="001E63A0" w:rsidRPr="00555AC5" w:rsidRDefault="00555AC5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school actively seeks </w:t>
            </w:r>
            <w:r w:rsidR="001E63A0" w:rsidRPr="001E63A0">
              <w:rPr>
                <w:rFonts w:cstheme="minorHAnsi"/>
                <w:sz w:val="24"/>
                <w:szCs w:val="24"/>
              </w:rPr>
              <w:t>the views of Gyps</w:t>
            </w:r>
            <w:r>
              <w:rPr>
                <w:rFonts w:cstheme="minorHAnsi"/>
                <w:sz w:val="24"/>
                <w:szCs w:val="24"/>
              </w:rPr>
              <w:t xml:space="preserve">y, Roma and Traveller parents/carers and can provide examples of actions taken based on their </w:t>
            </w:r>
            <w:r w:rsidR="001E63A0" w:rsidRPr="001E63A0">
              <w:rPr>
                <w:rFonts w:cstheme="minorHAnsi"/>
                <w:sz w:val="24"/>
                <w:szCs w:val="24"/>
              </w:rPr>
              <w:t>responses.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1E63A0" w:rsidRPr="001E63A0" w:rsidTr="00555AC5">
        <w:trPr>
          <w:jc w:val="center"/>
        </w:trPr>
        <w:tc>
          <w:tcPr>
            <w:tcW w:w="6058" w:type="dxa"/>
          </w:tcPr>
          <w:p w:rsidR="001E63A0" w:rsidRPr="00555AC5" w:rsidRDefault="00555AC5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Effective strategies are in place for communicating and sharing information about school policies and procedures with Gypsy, Roma and </w:t>
            </w:r>
            <w:r w:rsidR="001E63A0" w:rsidRPr="001E63A0">
              <w:rPr>
                <w:rFonts w:cstheme="minorHAnsi"/>
                <w:sz w:val="24"/>
                <w:szCs w:val="24"/>
              </w:rPr>
              <w:t>Traveller parent/carers.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  <w:tr w:rsidR="001E63A0" w:rsidRPr="001E63A0" w:rsidTr="00555AC5">
        <w:trPr>
          <w:jc w:val="center"/>
        </w:trPr>
        <w:tc>
          <w:tcPr>
            <w:tcW w:w="6058" w:type="dxa"/>
          </w:tcPr>
          <w:p w:rsidR="001E63A0" w:rsidRPr="00555AC5" w:rsidRDefault="00555AC5" w:rsidP="001E63A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Career and vocational guidance is available to Gypsy, Roma and Traveller pupils and </w:t>
            </w:r>
            <w:r w:rsidR="001E63A0" w:rsidRPr="001E63A0">
              <w:rPr>
                <w:rFonts w:cstheme="minorHAnsi"/>
                <w:sz w:val="24"/>
                <w:szCs w:val="24"/>
              </w:rPr>
              <w:t>parents/carers.</w:t>
            </w: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3A0" w:rsidRPr="001E63A0" w:rsidRDefault="001E63A0" w:rsidP="0023460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7A394"/>
                <w:sz w:val="24"/>
                <w:szCs w:val="24"/>
              </w:rPr>
            </w:pPr>
          </w:p>
        </w:tc>
      </w:tr>
    </w:tbl>
    <w:p w:rsidR="001E63A0" w:rsidRPr="001E63A0" w:rsidRDefault="001E63A0" w:rsidP="001E63A0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 w:themeColor="text1"/>
          <w:sz w:val="32"/>
          <w:szCs w:val="32"/>
        </w:rPr>
      </w:pPr>
    </w:p>
    <w:sectPr w:rsidR="001E63A0" w:rsidRPr="001E63A0" w:rsidSect="00294539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980" w:rsidRDefault="00200980" w:rsidP="00200980">
      <w:pPr>
        <w:spacing w:after="0" w:line="240" w:lineRule="auto"/>
      </w:pPr>
      <w:r>
        <w:separator/>
      </w:r>
    </w:p>
  </w:endnote>
  <w:endnote w:type="continuationSeparator" w:id="0">
    <w:p w:rsidR="00200980" w:rsidRDefault="00200980" w:rsidP="0020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80" w:rsidRPr="00200980" w:rsidRDefault="00903EC4" w:rsidP="00200980">
    <w:pPr>
      <w:autoSpaceDE w:val="0"/>
      <w:autoSpaceDN w:val="0"/>
      <w:adjustRightInd w:val="0"/>
      <w:spacing w:after="0" w:line="240" w:lineRule="auto"/>
      <w:rPr>
        <w:rFonts w:cstheme="minorHAnsi"/>
        <w:color w:val="000000" w:themeColor="text1"/>
      </w:rPr>
    </w:pPr>
    <w:r>
      <w:rPr>
        <w:rFonts w:cstheme="minorHAnsi"/>
        <w:color w:val="000000" w:themeColor="text1"/>
        <w:sz w:val="20"/>
        <w:szCs w:val="20"/>
      </w:rPr>
      <w:t>Adapted</w:t>
    </w:r>
    <w:r w:rsidR="00200980" w:rsidRPr="00200980">
      <w:rPr>
        <w:rFonts w:cstheme="minorHAnsi"/>
        <w:color w:val="000000" w:themeColor="text1"/>
        <w:sz w:val="20"/>
        <w:szCs w:val="20"/>
      </w:rPr>
      <w:t xml:space="preserve"> from ‘</w:t>
    </w:r>
    <w:r w:rsidR="00200980" w:rsidRPr="00200980">
      <w:rPr>
        <w:rFonts w:cstheme="minorHAnsi"/>
        <w:color w:val="000000" w:themeColor="text1"/>
        <w:sz w:val="20"/>
        <w:szCs w:val="20"/>
      </w:rPr>
      <w:t>Moving forward together: Raising Gypsy, Roma and Traveller achievement</w:t>
    </w:r>
    <w:r w:rsidR="00200980" w:rsidRPr="00200980">
      <w:rPr>
        <w:rFonts w:cstheme="minorHAnsi"/>
        <w:color w:val="000000" w:themeColor="text1"/>
        <w:sz w:val="20"/>
        <w:szCs w:val="20"/>
      </w:rPr>
      <w:t xml:space="preserve"> - Booklet 2 </w:t>
    </w:r>
    <w:r w:rsidR="00200980" w:rsidRPr="00200980">
      <w:rPr>
        <w:rFonts w:cstheme="minorHAnsi"/>
        <w:color w:val="000000" w:themeColor="text1"/>
        <w:sz w:val="20"/>
        <w:szCs w:val="20"/>
      </w:rPr>
      <w:t>Leadership and management</w:t>
    </w:r>
    <w:r w:rsidR="00200980" w:rsidRPr="00200980">
      <w:rPr>
        <w:rFonts w:cstheme="minorHAnsi"/>
        <w:color w:val="000000" w:themeColor="text1"/>
        <w:sz w:val="20"/>
        <w:szCs w:val="20"/>
      </w:rPr>
      <w:t>’ (</w:t>
    </w:r>
    <w:r w:rsidR="00123424">
      <w:rPr>
        <w:rFonts w:cstheme="minorHAnsi"/>
        <w:color w:val="000000" w:themeColor="text1"/>
        <w:sz w:val="20"/>
        <w:szCs w:val="20"/>
      </w:rPr>
      <w:t xml:space="preserve">National Strategies, </w:t>
    </w:r>
    <w:r w:rsidR="00200980" w:rsidRPr="00200980">
      <w:rPr>
        <w:rFonts w:cstheme="minorHAnsi"/>
        <w:color w:val="000000" w:themeColor="text1"/>
        <w:sz w:val="20"/>
        <w:szCs w:val="20"/>
      </w:rPr>
      <w:t>2009</w:t>
    </w:r>
    <w:r w:rsidR="00200980">
      <w:rPr>
        <w:rFonts w:cstheme="minorHAnsi"/>
        <w:color w:val="000000" w:themeColor="text1"/>
      </w:rPr>
      <w:t>)</w:t>
    </w:r>
  </w:p>
  <w:p w:rsidR="00200980" w:rsidRPr="00200980" w:rsidRDefault="00200980">
    <w:pPr>
      <w:pStyle w:val="Footer"/>
      <w:rPr>
        <w:rFonts w:cstheme="minorHAnsi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980" w:rsidRDefault="00200980" w:rsidP="00200980">
      <w:pPr>
        <w:spacing w:after="0" w:line="240" w:lineRule="auto"/>
      </w:pPr>
      <w:r>
        <w:separator/>
      </w:r>
    </w:p>
  </w:footnote>
  <w:footnote w:type="continuationSeparator" w:id="0">
    <w:p w:rsidR="00200980" w:rsidRDefault="00200980" w:rsidP="00200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48188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80BA8" w:rsidRDefault="00480B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4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0BA8" w:rsidRDefault="00480B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AF"/>
    <w:rsid w:val="00123424"/>
    <w:rsid w:val="001E63A0"/>
    <w:rsid w:val="00200980"/>
    <w:rsid w:val="00273395"/>
    <w:rsid w:val="00294539"/>
    <w:rsid w:val="002F47C7"/>
    <w:rsid w:val="00480BA8"/>
    <w:rsid w:val="00555AC5"/>
    <w:rsid w:val="00903EC4"/>
    <w:rsid w:val="00A02FAF"/>
    <w:rsid w:val="00BE1457"/>
    <w:rsid w:val="00C13DC4"/>
    <w:rsid w:val="00D33E8A"/>
    <w:rsid w:val="00E8644E"/>
    <w:rsid w:val="00EC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80"/>
  </w:style>
  <w:style w:type="paragraph" w:styleId="Footer">
    <w:name w:val="footer"/>
    <w:basedOn w:val="Normal"/>
    <w:link w:val="FooterChar"/>
    <w:uiPriority w:val="99"/>
    <w:unhideWhenUsed/>
    <w:rsid w:val="00200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980"/>
  </w:style>
  <w:style w:type="paragraph" w:styleId="BalloonText">
    <w:name w:val="Balloon Text"/>
    <w:basedOn w:val="Normal"/>
    <w:link w:val="BalloonTextChar"/>
    <w:uiPriority w:val="99"/>
    <w:semiHidden/>
    <w:unhideWhenUsed/>
    <w:rsid w:val="0020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9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80"/>
  </w:style>
  <w:style w:type="paragraph" w:styleId="Footer">
    <w:name w:val="footer"/>
    <w:basedOn w:val="Normal"/>
    <w:link w:val="FooterChar"/>
    <w:uiPriority w:val="99"/>
    <w:unhideWhenUsed/>
    <w:rsid w:val="00200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980"/>
  </w:style>
  <w:style w:type="paragraph" w:styleId="BalloonText">
    <w:name w:val="Balloon Text"/>
    <w:basedOn w:val="Normal"/>
    <w:link w:val="BalloonTextChar"/>
    <w:uiPriority w:val="99"/>
    <w:semiHidden/>
    <w:unhideWhenUsed/>
    <w:rsid w:val="0020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9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1E"/>
    <w:rsid w:val="0002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FE5E95367E4B2BA11A0DA408494C70">
    <w:name w:val="91FE5E95367E4B2BA11A0DA408494C70"/>
    <w:rsid w:val="00027C1E"/>
  </w:style>
  <w:style w:type="paragraph" w:customStyle="1" w:styleId="35EF8D35F49244B6A3164F005FF024E2">
    <w:name w:val="35EF8D35F49244B6A3164F005FF024E2"/>
    <w:rsid w:val="00027C1E"/>
  </w:style>
  <w:style w:type="paragraph" w:customStyle="1" w:styleId="7365F1AF981147D280696DA065BC9A86">
    <w:name w:val="7365F1AF981147D280696DA065BC9A86"/>
    <w:rsid w:val="00027C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FE5E95367E4B2BA11A0DA408494C70">
    <w:name w:val="91FE5E95367E4B2BA11A0DA408494C70"/>
    <w:rsid w:val="00027C1E"/>
  </w:style>
  <w:style w:type="paragraph" w:customStyle="1" w:styleId="35EF8D35F49244B6A3164F005FF024E2">
    <w:name w:val="35EF8D35F49244B6A3164F005FF024E2"/>
    <w:rsid w:val="00027C1E"/>
  </w:style>
  <w:style w:type="paragraph" w:customStyle="1" w:styleId="7365F1AF981147D280696DA065BC9A86">
    <w:name w:val="7365F1AF981147D280696DA065BC9A86"/>
    <w:rsid w:val="00027C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BARKER, Anna</dc:creator>
  <cp:lastModifiedBy>BARKER, Anna</cp:lastModifiedBy>
  <cp:revision>11</cp:revision>
  <dcterms:created xsi:type="dcterms:W3CDTF">2016-08-18T13:24:00Z</dcterms:created>
  <dcterms:modified xsi:type="dcterms:W3CDTF">2016-08-18T14:08:00Z</dcterms:modified>
</cp:coreProperties>
</file>