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B1BD8" w14:textId="77777777" w:rsidR="00542CF3" w:rsidRPr="00542CF3" w:rsidRDefault="00542CF3" w:rsidP="00542CF3">
      <w:pPr>
        <w:pStyle w:val="Title"/>
      </w:pPr>
      <w:r w:rsidRPr="00542CF3">
        <w:t>Overarching protocol for information</w:t>
      </w:r>
    </w:p>
    <w:p w14:paraId="5F27D5A1" w14:textId="77777777" w:rsidR="00542CF3" w:rsidRDefault="00542CF3" w:rsidP="00542CF3">
      <w:pPr>
        <w:pStyle w:val="Title"/>
        <w:spacing w:after="0"/>
      </w:pPr>
      <w:r w:rsidRPr="00542CF3">
        <w:t>sharing in Gloucestershire</w:t>
      </w:r>
    </w:p>
    <w:p w14:paraId="163B691F" w14:textId="77777777" w:rsidR="00542CF3" w:rsidRDefault="00542CF3" w:rsidP="00542CF3">
      <w:pPr>
        <w:spacing w:after="240" w:line="240" w:lineRule="auto"/>
        <w:jc w:val="right"/>
      </w:pPr>
      <w:r>
        <w:t>Gloucestershire Information Sharing Partnership Agreement (GISPA)</w:t>
      </w:r>
    </w:p>
    <w:p w14:paraId="003C7666" w14:textId="01D3C6AD" w:rsidR="00542CF3" w:rsidRDefault="008A160F" w:rsidP="00542CF3">
      <w:pPr>
        <w:jc w:val="right"/>
        <w:rPr>
          <w:i/>
          <w:iCs/>
        </w:rPr>
      </w:pPr>
      <w:r>
        <w:rPr>
          <w:i/>
          <w:iCs/>
        </w:rPr>
        <w:t>August</w:t>
      </w:r>
      <w:r w:rsidRPr="00542CF3">
        <w:rPr>
          <w:i/>
          <w:iCs/>
        </w:rPr>
        <w:t xml:space="preserve"> </w:t>
      </w:r>
      <w:r w:rsidR="00542CF3" w:rsidRPr="00542CF3">
        <w:rPr>
          <w:i/>
          <w:iCs/>
        </w:rPr>
        <w:t>202</w:t>
      </w:r>
      <w:r>
        <w:rPr>
          <w:i/>
          <w:iCs/>
        </w:rPr>
        <w:t>4</w:t>
      </w:r>
    </w:p>
    <w:p w14:paraId="6460B560" w14:textId="77777777" w:rsidR="00542CF3" w:rsidRDefault="00542CF3" w:rsidP="00542CF3"/>
    <w:p w14:paraId="6D1B0FD8" w14:textId="77777777" w:rsidR="00542CF3" w:rsidRDefault="00542CF3" w:rsidP="00542CF3"/>
    <w:p w14:paraId="423BC7DB" w14:textId="77777777" w:rsidR="00542CF3" w:rsidRDefault="00542CF3" w:rsidP="00542CF3"/>
    <w:p w14:paraId="0A6EF61A" w14:textId="77777777" w:rsidR="00542CF3" w:rsidRDefault="00542CF3" w:rsidP="00542CF3"/>
    <w:p w14:paraId="5DE3F93E" w14:textId="77777777" w:rsidR="00542CF3" w:rsidRDefault="00542CF3" w:rsidP="00542CF3"/>
    <w:p w14:paraId="0DDDA967" w14:textId="77777777" w:rsidR="00542CF3" w:rsidRDefault="00542CF3" w:rsidP="00542CF3"/>
    <w:p w14:paraId="0BB87AC9" w14:textId="77777777" w:rsidR="00542CF3" w:rsidRDefault="00542CF3" w:rsidP="00542CF3"/>
    <w:p w14:paraId="3F4B247F" w14:textId="77777777" w:rsidR="00542CF3" w:rsidRDefault="00542CF3" w:rsidP="00542CF3"/>
    <w:p w14:paraId="40C3EDCF" w14:textId="77777777" w:rsidR="00542CF3" w:rsidRDefault="00542CF3" w:rsidP="00542CF3"/>
    <w:p w14:paraId="3786F797" w14:textId="77777777" w:rsidR="00542CF3" w:rsidRDefault="00542CF3" w:rsidP="00542CF3"/>
    <w:p w14:paraId="4FD52A14" w14:textId="77777777" w:rsidR="00542CF3" w:rsidRDefault="00542CF3" w:rsidP="00542CF3"/>
    <w:p w14:paraId="3FBC3362" w14:textId="77777777" w:rsidR="00542CF3" w:rsidRDefault="00542CF3" w:rsidP="00542CF3"/>
    <w:p w14:paraId="320C0294" w14:textId="77777777" w:rsidR="00542CF3" w:rsidRDefault="00542CF3" w:rsidP="00542CF3"/>
    <w:p w14:paraId="11CBC8A7" w14:textId="77777777" w:rsidR="00542CF3" w:rsidRDefault="00542CF3" w:rsidP="00542CF3"/>
    <w:p w14:paraId="51DD5CD3" w14:textId="6817888D" w:rsidR="00542CF3" w:rsidRDefault="00542CF3" w:rsidP="00542CF3"/>
    <w:p w14:paraId="343EE04C" w14:textId="77777777" w:rsidR="00542CF3" w:rsidRDefault="00542CF3" w:rsidP="00542CF3"/>
    <w:p w14:paraId="6B2F8EAF" w14:textId="77777777" w:rsidR="00542CF3" w:rsidRDefault="00542CF3" w:rsidP="00542CF3"/>
    <w:p w14:paraId="1A81CFEE" w14:textId="77777777" w:rsidR="00542CF3" w:rsidRDefault="00542CF3" w:rsidP="00542CF3"/>
    <w:p w14:paraId="011296C9" w14:textId="77777777" w:rsidR="00542CF3" w:rsidRDefault="00542CF3" w:rsidP="00542CF3"/>
    <w:p w14:paraId="412F4EC6" w14:textId="77777777" w:rsidR="00542CF3" w:rsidRDefault="00542CF3" w:rsidP="00542CF3"/>
    <w:p w14:paraId="4EEDCCC9" w14:textId="77777777" w:rsidR="00542CF3" w:rsidRDefault="00542CF3" w:rsidP="00542CF3"/>
    <w:p w14:paraId="13D60B92" w14:textId="77777777" w:rsidR="00542CF3" w:rsidRDefault="00542CF3" w:rsidP="00542CF3"/>
    <w:p w14:paraId="745B71CE" w14:textId="77777777" w:rsidR="00542CF3" w:rsidRPr="00542CF3" w:rsidRDefault="00542CF3" w:rsidP="00542CF3"/>
    <w:p w14:paraId="2A96DA02" w14:textId="34797D3E" w:rsidR="00542CF3" w:rsidRPr="00542CF3" w:rsidRDefault="00542CF3" w:rsidP="00542CF3">
      <w:pPr>
        <w:jc w:val="right"/>
        <w:rPr>
          <w:b/>
          <w:bCs/>
        </w:rPr>
      </w:pPr>
      <w:r w:rsidRPr="00542CF3">
        <w:rPr>
          <w:b/>
          <w:bCs/>
        </w:rPr>
        <w:t>VERSION 5.</w:t>
      </w:r>
      <w:r w:rsidR="008A160F">
        <w:rPr>
          <w:b/>
          <w:bCs/>
        </w:rPr>
        <w:t>1</w:t>
      </w:r>
    </w:p>
    <w:p w14:paraId="78AEDE65" w14:textId="77777777" w:rsidR="00542CF3" w:rsidRDefault="00542CF3">
      <w:pPr>
        <w:spacing w:after="200" w:line="276" w:lineRule="auto"/>
        <w:jc w:val="left"/>
      </w:pPr>
      <w:r>
        <w:br w:type="page"/>
      </w:r>
    </w:p>
    <w:p w14:paraId="783645FB" w14:textId="77777777" w:rsidR="00542CF3" w:rsidRDefault="00542CF3" w:rsidP="00472378">
      <w:pPr>
        <w:pStyle w:val="Heading2"/>
        <w:numPr>
          <w:ilvl w:val="1"/>
          <w:numId w:val="20"/>
        </w:numPr>
      </w:pPr>
      <w:r>
        <w:lastRenderedPageBreak/>
        <w:t>INTRODUCTION</w:t>
      </w:r>
    </w:p>
    <w:p w14:paraId="70738583" w14:textId="07164A47" w:rsidR="00542CF3" w:rsidRDefault="00542CF3" w:rsidP="00542CF3">
      <w:r>
        <w:t>Sharing Personal Data is essential for delivering effective and efficient public services that meet the needs of the community and safeguard the individual. Whether this for Health and Social Care, the prevention and detection of crime or protecting public money, public sector service providers are governed by legislation that reinforces the need to share data to carry out their statutory and discretionary functions.</w:t>
      </w:r>
    </w:p>
    <w:p w14:paraId="51165FE1" w14:textId="691425FA" w:rsidR="00542CF3" w:rsidRDefault="00542CF3" w:rsidP="00542CF3">
      <w:r>
        <w:t>The purpose of the Gloucestershire Information Sharing Partnership Agreement (GISPA) is to enable organisations providing public services concerned with the safeguarding, welfare and protection of the wider public to share relevant, minimum and appropriate personal data between them in a lawful, safe and informed way.</w:t>
      </w:r>
    </w:p>
    <w:p w14:paraId="62691972" w14:textId="2897FB14" w:rsidR="00542CF3" w:rsidRDefault="00542CF3" w:rsidP="00472378">
      <w:pPr>
        <w:pStyle w:val="Heading2"/>
      </w:pPr>
      <w:r>
        <w:t>AIMS AND OBJECTIVES</w:t>
      </w:r>
    </w:p>
    <w:p w14:paraId="77717090" w14:textId="288DE85E" w:rsidR="00542CF3" w:rsidRDefault="00542CF3" w:rsidP="00542CF3">
      <w:pPr>
        <w:pStyle w:val="Clause"/>
      </w:pPr>
      <w:r>
        <w:t>The GISPA aims to assist compliance with statutory and legislative requirements for disclosing Personal Data including the UK General Data Protection Regulation (UK GDPR), the Data Protection Act 2018, the Human Rights Act 1998, the Privacy and Electronic Communications Regulations 2003 (PECR), the Regulation of Investigatory Powers Act 2000 (RIPA) and with the common law duty of confidentiality. It also enables compliance with the Information Commissioner’s statutory Data Sharing Code of Practice.</w:t>
      </w:r>
    </w:p>
    <w:p w14:paraId="55F82B7D" w14:textId="2D9BB722" w:rsidR="00542CF3" w:rsidRDefault="00542CF3" w:rsidP="00542CF3">
      <w:pPr>
        <w:pStyle w:val="Clause"/>
      </w:pPr>
      <w:r>
        <w:t>The main objectives are:</w:t>
      </w:r>
    </w:p>
    <w:p w14:paraId="72F884E7" w14:textId="4EC2E978" w:rsidR="00542CF3" w:rsidRDefault="00542CF3" w:rsidP="00542CF3">
      <w:pPr>
        <w:pStyle w:val="Bullets"/>
      </w:pPr>
      <w:r>
        <w:t>to promote the lawful sharing of information between organisations for the provisions of public services in Gloucestershire</w:t>
      </w:r>
    </w:p>
    <w:p w14:paraId="6D74BFB2" w14:textId="00335CF3" w:rsidR="00542CF3" w:rsidRDefault="00542CF3" w:rsidP="00542CF3">
      <w:pPr>
        <w:pStyle w:val="Bullets"/>
      </w:pPr>
      <w:r>
        <w:t xml:space="preserve">to promote a more joined up approach to services provided in Gloucestershire by ensuring access to the right information in an efficient, appropriate, and lawful </w:t>
      </w:r>
      <w:r w:rsidR="009B0E15">
        <w:t>manner.</w:t>
      </w:r>
    </w:p>
    <w:p w14:paraId="51F0CF7F" w14:textId="7E7D180D" w:rsidR="00542CF3" w:rsidRDefault="00542CF3" w:rsidP="00542CF3">
      <w:pPr>
        <w:pStyle w:val="Bullets"/>
      </w:pPr>
      <w:r>
        <w:t xml:space="preserve">to assist organisations to meet their regulatory requirements </w:t>
      </w:r>
      <w:proofErr w:type="gramStart"/>
      <w:r>
        <w:t>and</w:t>
      </w:r>
      <w:r w:rsidR="009B0E15">
        <w:t>;</w:t>
      </w:r>
      <w:proofErr w:type="gramEnd"/>
    </w:p>
    <w:p w14:paraId="4F60CF21" w14:textId="11392C9D" w:rsidR="00542CF3" w:rsidRDefault="00542CF3" w:rsidP="00542CF3">
      <w:pPr>
        <w:pStyle w:val="Bullets"/>
      </w:pPr>
      <w:r>
        <w:t xml:space="preserve">to support a process which will implement, govern, </w:t>
      </w:r>
      <w:r w:rsidR="009B0E15">
        <w:t>monitor,</w:t>
      </w:r>
      <w:r>
        <w:t xml:space="preserve"> and review information flows.</w:t>
      </w:r>
    </w:p>
    <w:p w14:paraId="4FF6F4F0" w14:textId="509F6605" w:rsidR="00542CF3" w:rsidRDefault="00542CF3" w:rsidP="00542CF3">
      <w:pPr>
        <w:pStyle w:val="Heading2"/>
      </w:pPr>
      <w:r>
        <w:t>SCOPE</w:t>
      </w:r>
    </w:p>
    <w:p w14:paraId="03129913" w14:textId="213E282D" w:rsidR="00542CF3" w:rsidRDefault="00542CF3" w:rsidP="00542CF3">
      <w:pPr>
        <w:pStyle w:val="Clause"/>
      </w:pPr>
      <w:bookmarkStart w:id="0" w:name="_Ref123901591"/>
      <w:r>
        <w:t>The conditions, obligations and requirements set out in this agreement and</w:t>
      </w:r>
      <w:r w:rsidR="00051ADA">
        <w:t xml:space="preserve"> </w:t>
      </w:r>
      <w:r>
        <w:t>supporting documentation will apply to all appropriate staff, agency workers,</w:t>
      </w:r>
      <w:r w:rsidR="00051ADA">
        <w:t xml:space="preserve"> </w:t>
      </w:r>
      <w:r>
        <w:t>volunteers and others working on behalf of the participating organisations</w:t>
      </w:r>
      <w:r w:rsidR="00051ADA">
        <w:t xml:space="preserve"> </w:t>
      </w:r>
      <w:r>
        <w:t>including their partners, agents</w:t>
      </w:r>
      <w:r w:rsidR="00051429">
        <w:t>,</w:t>
      </w:r>
      <w:r>
        <w:t xml:space="preserve"> and sub-contractors.</w:t>
      </w:r>
      <w:bookmarkEnd w:id="0"/>
    </w:p>
    <w:p w14:paraId="4BC16DF3" w14:textId="01543B8D" w:rsidR="00542CF3" w:rsidRDefault="00542CF3" w:rsidP="00542CF3">
      <w:pPr>
        <w:pStyle w:val="Clause"/>
      </w:pPr>
      <w:bookmarkStart w:id="1" w:name="_Ref123901599"/>
      <w:r>
        <w:t>The protocol applies to all Personal Data handled by the participating</w:t>
      </w:r>
      <w:r w:rsidR="00051ADA">
        <w:t xml:space="preserve"> </w:t>
      </w:r>
      <w:r>
        <w:t>organisations including but not limited to information held on manual records and</w:t>
      </w:r>
      <w:r w:rsidR="00051ADA">
        <w:t xml:space="preserve"> </w:t>
      </w:r>
      <w:r>
        <w:t>information processed electronically.</w:t>
      </w:r>
      <w:bookmarkEnd w:id="1"/>
    </w:p>
    <w:p w14:paraId="683E2FDE" w14:textId="12360397" w:rsidR="00542CF3" w:rsidRDefault="00542CF3" w:rsidP="00542CF3">
      <w:pPr>
        <w:pStyle w:val="Clause"/>
      </w:pPr>
      <w:r>
        <w:t>There are three broad categories of information relating to personal data that</w:t>
      </w:r>
      <w:r w:rsidR="00051ADA">
        <w:t xml:space="preserve"> </w:t>
      </w:r>
      <w:r>
        <w:t>organisations may share without the need for protocols or agreements.</w:t>
      </w:r>
    </w:p>
    <w:p w14:paraId="34BF553B" w14:textId="2A20E4B7" w:rsidR="00542CF3" w:rsidRDefault="00542CF3" w:rsidP="00051ADA">
      <w:pPr>
        <w:pStyle w:val="Bullets"/>
      </w:pPr>
      <w:r>
        <w:t>Directly Identifiable Personal Data</w:t>
      </w:r>
    </w:p>
    <w:p w14:paraId="07CB4BC4" w14:textId="72E611C2" w:rsidR="00542CF3" w:rsidRDefault="00542CF3" w:rsidP="00542CF3">
      <w:pPr>
        <w:pStyle w:val="Bullets"/>
      </w:pPr>
      <w:r>
        <w:t>De-identified Anonymised Information Including Aggregated (Statistical)</w:t>
      </w:r>
      <w:r w:rsidR="00051ADA">
        <w:t xml:space="preserve"> </w:t>
      </w:r>
      <w:r>
        <w:t>Information</w:t>
      </w:r>
    </w:p>
    <w:p w14:paraId="1D264BC3" w14:textId="180390F9" w:rsidR="00542CF3" w:rsidRDefault="00542CF3" w:rsidP="00542CF3">
      <w:pPr>
        <w:pStyle w:val="Clause"/>
      </w:pPr>
      <w:r>
        <w:lastRenderedPageBreak/>
        <w:t xml:space="preserve">Extra consideration should be given to other datasets that maybe held by participating organisations. The UK GDPR definition of Personal Data also includes individuals “who can be indirectly identified from that information in combination with other information”. Therefore, the </w:t>
      </w:r>
      <w:r w:rsidR="00434796">
        <w:t>Parties</w:t>
      </w:r>
      <w:r>
        <w:t xml:space="preserve"> should consider whether the sharing of de-identified information would result in that information becoming Personal Data again if combined with information held by the </w:t>
      </w:r>
      <w:r w:rsidR="00EC79C1">
        <w:t>R</w:t>
      </w:r>
      <w:r>
        <w:t xml:space="preserve">eceiving </w:t>
      </w:r>
      <w:r w:rsidR="00434796">
        <w:t>Party</w:t>
      </w:r>
      <w:r>
        <w:t>.</w:t>
      </w:r>
    </w:p>
    <w:p w14:paraId="61353C19" w14:textId="5BDD5DF9" w:rsidR="00542CF3" w:rsidRDefault="00542CF3" w:rsidP="00542CF3">
      <w:pPr>
        <w:pStyle w:val="Clause"/>
      </w:pPr>
      <w:r>
        <w:t xml:space="preserve">Where anonymised or de-identified information is shared all </w:t>
      </w:r>
      <w:r w:rsidR="00434796">
        <w:t>Parties</w:t>
      </w:r>
      <w:r>
        <w:t xml:space="preserve"> agree not to attempt to re-identify individuals and not to undo or reverse any pseudonymisation</w:t>
      </w:r>
    </w:p>
    <w:p w14:paraId="524F7721" w14:textId="38B36BB6" w:rsidR="00542CF3" w:rsidRDefault="00542CF3" w:rsidP="00542CF3">
      <w:pPr>
        <w:pStyle w:val="Clause"/>
      </w:pPr>
      <w:r>
        <w:t xml:space="preserve">Where any of the processing may lead to any of the </w:t>
      </w:r>
      <w:r w:rsidR="00434796">
        <w:t>Parties</w:t>
      </w:r>
      <w:r>
        <w:t xml:space="preserve"> becoming </w:t>
      </w:r>
      <w:r w:rsidR="003C2569">
        <w:t>J</w:t>
      </w:r>
      <w:r>
        <w:t xml:space="preserve">oint </w:t>
      </w:r>
      <w:r w:rsidR="00434796">
        <w:t>Controllers</w:t>
      </w:r>
      <w:r>
        <w:t>, th</w:t>
      </w:r>
      <w:r w:rsidR="006269A0">
        <w:t xml:space="preserve">e Specific Information Sharing </w:t>
      </w:r>
      <w:r>
        <w:t xml:space="preserve">agreement will be </w:t>
      </w:r>
      <w:r w:rsidR="00391634">
        <w:t>supplemented</w:t>
      </w:r>
      <w:r>
        <w:t xml:space="preserve"> by a Joint </w:t>
      </w:r>
      <w:r w:rsidR="00434796">
        <w:t>Controller</w:t>
      </w:r>
      <w:r>
        <w:t xml:space="preserve"> Agreement setting out the </w:t>
      </w:r>
      <w:r w:rsidR="00391634">
        <w:t xml:space="preserve">roles and </w:t>
      </w:r>
      <w:r>
        <w:t xml:space="preserve">responsibilities of the </w:t>
      </w:r>
      <w:r w:rsidR="00434796">
        <w:t>Parties</w:t>
      </w:r>
      <w:r>
        <w:t>, in line with the requirements of Data Protection legislation.</w:t>
      </w:r>
    </w:p>
    <w:p w14:paraId="4D9A03FB" w14:textId="0EB6707D" w:rsidR="00542CF3" w:rsidRDefault="00542CF3" w:rsidP="00051ADA">
      <w:pPr>
        <w:pStyle w:val="Heading2"/>
      </w:pPr>
      <w:r>
        <w:t>THE AGREEMENT</w:t>
      </w:r>
    </w:p>
    <w:p w14:paraId="2897899B" w14:textId="3C0C1C63" w:rsidR="00542CF3" w:rsidRDefault="00542CF3" w:rsidP="00542CF3">
      <w:pPr>
        <w:pStyle w:val="Clause"/>
      </w:pPr>
      <w:r>
        <w:t xml:space="preserve">All </w:t>
      </w:r>
      <w:r w:rsidR="00434796">
        <w:t>Parties</w:t>
      </w:r>
      <w:r>
        <w:t xml:space="preserve"> agree that any arrangement </w:t>
      </w:r>
      <w:r w:rsidR="006852AA">
        <w:t>entered</w:t>
      </w:r>
      <w:r>
        <w:t xml:space="preserve"> will be governed by the requirements, terms and conditions of the overarching data sharing protocol, inclusive of its Schedules.</w:t>
      </w:r>
    </w:p>
    <w:p w14:paraId="5886B57B" w14:textId="06CA68E5" w:rsidR="00542CF3" w:rsidRDefault="00542CF3" w:rsidP="00542CF3">
      <w:pPr>
        <w:pStyle w:val="Clause"/>
      </w:pPr>
      <w:r>
        <w:t xml:space="preserve">All </w:t>
      </w:r>
      <w:r w:rsidR="00434796">
        <w:t>Parties</w:t>
      </w:r>
      <w:r>
        <w:t xml:space="preserve"> will ensure their organisation’s compliance with all aspects of this overarching data sharing protocol as well as any specific arrangements agreed to by the </w:t>
      </w:r>
      <w:r w:rsidR="00434796">
        <w:t>Parties</w:t>
      </w:r>
      <w:r>
        <w:t xml:space="preserve"> before the commencement of any data sharing.</w:t>
      </w:r>
    </w:p>
    <w:p w14:paraId="42ED1609" w14:textId="5DCD8486" w:rsidR="00542CF3" w:rsidRDefault="00542CF3" w:rsidP="00542CF3">
      <w:pPr>
        <w:pStyle w:val="Clause"/>
      </w:pPr>
      <w:r>
        <w:t>All specific requirements will be outlined using the Specific Information Sharing Agreement (SISA) set out in Schedule 1 to this agreement and will not alter or otherwise affect each organisation’s compliance with the requirements of this overarching Data sharing Protocol. Terms defined in Schedule 3 shall apply to this agreement and any SISA.</w:t>
      </w:r>
    </w:p>
    <w:p w14:paraId="1C7335C2" w14:textId="539D35BD" w:rsidR="00542CF3" w:rsidRDefault="00542CF3" w:rsidP="00542CF3">
      <w:pPr>
        <w:pStyle w:val="Clause"/>
      </w:pPr>
      <w:r>
        <w:t xml:space="preserve">All </w:t>
      </w:r>
      <w:r w:rsidR="00434796">
        <w:t>Parties</w:t>
      </w:r>
      <w:r>
        <w:t xml:space="preserve"> are considered a </w:t>
      </w:r>
      <w:r w:rsidR="00434796">
        <w:t>Controller</w:t>
      </w:r>
      <w:r>
        <w:t xml:space="preserve"> </w:t>
      </w:r>
      <w:proofErr w:type="gramStart"/>
      <w:r>
        <w:t>in their own right under</w:t>
      </w:r>
      <w:proofErr w:type="gramEnd"/>
      <w:r>
        <w:t xml:space="preserve"> current Data Protection legislation and agree to:</w:t>
      </w:r>
    </w:p>
    <w:p w14:paraId="0AE208D4" w14:textId="506E3A8B" w:rsidR="00542CF3" w:rsidRDefault="00542CF3" w:rsidP="00051ADA">
      <w:pPr>
        <w:pStyle w:val="Bullets"/>
      </w:pPr>
      <w:r>
        <w:t>hold a valid registration and have paid such fees as are required by the Supervisory Authority which, by the time that the data sharing is expected to commence, covers the intended data sharing, unless an exemption applies.</w:t>
      </w:r>
    </w:p>
    <w:p w14:paraId="1C796D15" w14:textId="01584764" w:rsidR="00542CF3" w:rsidRDefault="00542CF3" w:rsidP="00051ADA">
      <w:pPr>
        <w:pStyle w:val="Bullets"/>
      </w:pPr>
      <w:r>
        <w:t>Appoint a Data Protection Officer, if appropriate, and publish contact details.</w:t>
      </w:r>
    </w:p>
    <w:p w14:paraId="795A7DB7" w14:textId="51236DCC" w:rsidR="00542CF3" w:rsidRDefault="00542CF3" w:rsidP="00542CF3">
      <w:pPr>
        <w:pStyle w:val="Clause"/>
      </w:pPr>
      <w:r>
        <w:t xml:space="preserve">All </w:t>
      </w:r>
      <w:r w:rsidR="00434796">
        <w:t>Parties</w:t>
      </w:r>
      <w:r>
        <w:t xml:space="preserve"> shall appoint a Single Point of Contact (</w:t>
      </w:r>
      <w:proofErr w:type="spellStart"/>
      <w:r>
        <w:t>SPoC</w:t>
      </w:r>
      <w:proofErr w:type="spellEnd"/>
      <w:r>
        <w:t>) who will work together to reach an agreement with regards to any issues arising from the data sharing and to actively improve the effectiveness of the data sharing protocol.</w:t>
      </w:r>
    </w:p>
    <w:p w14:paraId="60062B12" w14:textId="594665AB" w:rsidR="00191634" w:rsidRDefault="00191634">
      <w:pPr>
        <w:spacing w:after="200" w:line="276" w:lineRule="auto"/>
        <w:jc w:val="left"/>
      </w:pPr>
      <w:r>
        <w:br w:type="page"/>
      </w:r>
    </w:p>
    <w:p w14:paraId="1F95D370" w14:textId="181411F7" w:rsidR="00542CF3" w:rsidRDefault="00542CF3" w:rsidP="00051ADA">
      <w:pPr>
        <w:pStyle w:val="Heading2"/>
      </w:pPr>
      <w:r>
        <w:lastRenderedPageBreak/>
        <w:t>THE PRINCIPLES OF THE GISPA</w:t>
      </w:r>
    </w:p>
    <w:p w14:paraId="2D8EFD6E" w14:textId="1E16ADF0" w:rsidR="00542CF3" w:rsidRDefault="00542CF3" w:rsidP="00542CF3">
      <w:pPr>
        <w:pStyle w:val="Clause"/>
      </w:pPr>
      <w:r>
        <w:t xml:space="preserve">All </w:t>
      </w:r>
      <w:r w:rsidR="00434796">
        <w:t>Parties</w:t>
      </w:r>
      <w:r>
        <w:t xml:space="preserve"> shall comply at all times with all applicable laws and regulations relating to processing of personal data and privacy in effect in the UK, including where applicable the guidance and codes of practice issued by the Information Commissioner, the Department of Health and other relevant bodies and shall not perform its obligations under this Agreement in such a way as to cause any other</w:t>
      </w:r>
      <w:r w:rsidR="00051ADA">
        <w:t xml:space="preserve"> </w:t>
      </w:r>
      <w:r w:rsidR="00434796">
        <w:t>Party</w:t>
      </w:r>
      <w:r>
        <w:t xml:space="preserve"> to this Agreement to breach any of its obligations under such applicable laws, regulations or guidance.</w:t>
      </w:r>
    </w:p>
    <w:p w14:paraId="619D23D3" w14:textId="0E2B6022" w:rsidR="00542CF3" w:rsidRDefault="00542CF3" w:rsidP="00542CF3">
      <w:pPr>
        <w:pStyle w:val="Clause"/>
      </w:pPr>
      <w:r>
        <w:t xml:space="preserve">All </w:t>
      </w:r>
      <w:r w:rsidR="00434796">
        <w:t>Parties</w:t>
      </w:r>
      <w:r>
        <w:t xml:space="preserve"> will use the same degree of care as it uses to protect its own strictly confidential information, which is processed under current </w:t>
      </w:r>
      <w:r w:rsidR="00AE2FC4">
        <w:t>d</w:t>
      </w:r>
      <w:r>
        <w:t xml:space="preserve">ata </w:t>
      </w:r>
      <w:r w:rsidR="00AE2FC4">
        <w:t>p</w:t>
      </w:r>
      <w:r>
        <w:t>rotection legislation, to maintain the data in strict confidence.</w:t>
      </w:r>
    </w:p>
    <w:p w14:paraId="64743EB3" w14:textId="3113BA5D" w:rsidR="00542CF3" w:rsidRDefault="00542CF3" w:rsidP="00542CF3">
      <w:pPr>
        <w:pStyle w:val="Clause"/>
      </w:pPr>
      <w:r>
        <w:t xml:space="preserve">All </w:t>
      </w:r>
      <w:r w:rsidR="00434796">
        <w:t>Parties</w:t>
      </w:r>
      <w:r>
        <w:t xml:space="preserve"> shall not make any use of, or otherwise process, the data and information received other than for the agreed purpose(s) </w:t>
      </w:r>
      <w:r w:rsidR="00AE2FC4">
        <w:t xml:space="preserve">defined in Schedule 1 </w:t>
      </w:r>
      <w:r>
        <w:t>and shall not attempt to re-identify individuals where data has been anonymised or de-identified or undo or reverse any pseudonymisation used.</w:t>
      </w:r>
    </w:p>
    <w:p w14:paraId="5A964C31" w14:textId="395DFE14" w:rsidR="00542CF3" w:rsidRDefault="00542CF3" w:rsidP="00542CF3">
      <w:pPr>
        <w:pStyle w:val="Clause"/>
      </w:pPr>
      <w:r>
        <w:t xml:space="preserve">All </w:t>
      </w:r>
      <w:r w:rsidR="00434796">
        <w:t>Parties</w:t>
      </w:r>
      <w:r>
        <w:t xml:space="preserve"> shall restrict access to the data and information received solely to its staff members and/or the staff members of any authorised third-</w:t>
      </w:r>
      <w:r w:rsidR="00434796">
        <w:t>Party</w:t>
      </w:r>
      <w:r>
        <w:t xml:space="preserve"> organisation, who need to have such access </w:t>
      </w:r>
      <w:r w:rsidR="007E4225">
        <w:t>to</w:t>
      </w:r>
      <w:r>
        <w:t xml:space="preserve"> carry out the agreed purpose(s).</w:t>
      </w:r>
    </w:p>
    <w:p w14:paraId="52F5D49B" w14:textId="3A586C1F" w:rsidR="00542CF3" w:rsidRDefault="00542CF3" w:rsidP="00542CF3">
      <w:pPr>
        <w:pStyle w:val="Clause"/>
      </w:pPr>
      <w:r>
        <w:t xml:space="preserve">All </w:t>
      </w:r>
      <w:r w:rsidR="00434796">
        <w:t>Parties</w:t>
      </w:r>
      <w:r>
        <w:t xml:space="preserve"> are responsible for ensuring the accuracy, </w:t>
      </w:r>
      <w:r w:rsidR="007E4225">
        <w:t>completeness,</w:t>
      </w:r>
      <w:r>
        <w:t xml:space="preserve"> and validity of the data.</w:t>
      </w:r>
    </w:p>
    <w:p w14:paraId="3BEA3239" w14:textId="6D38ADE9" w:rsidR="00542CF3" w:rsidRDefault="00542CF3" w:rsidP="00542CF3">
      <w:pPr>
        <w:pStyle w:val="Clause"/>
      </w:pPr>
      <w:r>
        <w:t xml:space="preserve">All </w:t>
      </w:r>
      <w:r w:rsidR="00434796">
        <w:t>Parties</w:t>
      </w:r>
      <w:r>
        <w:t xml:space="preserve"> will use its reasonable endeavours to ensure that appropriate security and confidentiality procedures are in place to protect the transfer and use of the Personal Data by:</w:t>
      </w:r>
    </w:p>
    <w:p w14:paraId="22958E79" w14:textId="3274BCE1" w:rsidR="00542CF3" w:rsidRDefault="00542CF3" w:rsidP="00051ADA">
      <w:pPr>
        <w:pStyle w:val="Bullets"/>
      </w:pPr>
      <w:r>
        <w:t>Complying with any organisations specific data security requirements such as the Data Security and Protection Toolkit (DSPT), management of police information (</w:t>
      </w:r>
      <w:proofErr w:type="spellStart"/>
      <w:r>
        <w:t>MoPI</w:t>
      </w:r>
      <w:proofErr w:type="spellEnd"/>
      <w:r>
        <w:t xml:space="preserve">) or as agreed by the </w:t>
      </w:r>
      <w:r w:rsidR="00434796">
        <w:t>Parties</w:t>
      </w:r>
      <w:r>
        <w:t xml:space="preserve"> in the appendix of the Specific Information Sharing Agreement (Schedule 1) and adhering to robust information governance management and accountability arrangements, including effective security event reporting and management; and</w:t>
      </w:r>
    </w:p>
    <w:p w14:paraId="5E8782A9" w14:textId="7471CF29" w:rsidR="00542CF3" w:rsidRDefault="00542CF3" w:rsidP="00051ADA">
      <w:pPr>
        <w:pStyle w:val="Bullets"/>
      </w:pPr>
      <w:r>
        <w:t xml:space="preserve">Complying with any relevant assessment, reporting and audit requirements relevant to its organisation type as agreed by the </w:t>
      </w:r>
      <w:r w:rsidR="00434796">
        <w:t>Parties</w:t>
      </w:r>
      <w:r>
        <w:t xml:space="preserve"> in the appendix of the Specific Information Sharing Agreement (Schedule 1). Third </w:t>
      </w:r>
      <w:r w:rsidR="00434796">
        <w:t>Parties</w:t>
      </w:r>
      <w:r>
        <w:t xml:space="preserve"> shall internally audit their compliance annually and report on such audits to the Data Discloser.</w:t>
      </w:r>
    </w:p>
    <w:p w14:paraId="0FAC6AE9" w14:textId="6D05D258" w:rsidR="00542CF3" w:rsidRDefault="00542CF3" w:rsidP="00051ADA">
      <w:pPr>
        <w:pStyle w:val="Heading2"/>
      </w:pPr>
      <w:r>
        <w:t>DATA SUBJECT RIGHTS</w:t>
      </w:r>
    </w:p>
    <w:p w14:paraId="648E1421" w14:textId="4DB9E760" w:rsidR="00542CF3" w:rsidRDefault="00542CF3" w:rsidP="00542CF3">
      <w:pPr>
        <w:pStyle w:val="Clause"/>
      </w:pPr>
      <w:r>
        <w:t xml:space="preserve">All </w:t>
      </w:r>
      <w:r w:rsidR="00434796">
        <w:t>Parties</w:t>
      </w:r>
      <w:r>
        <w:t xml:space="preserve"> will comply with the rights of the Data Subject in a fair and consistent manner and in accordance with any specific legislative requirements, regulations or guidance.</w:t>
      </w:r>
    </w:p>
    <w:p w14:paraId="39A72BA0" w14:textId="4D2547C3" w:rsidR="00542CF3" w:rsidRDefault="00542CF3" w:rsidP="00542CF3">
      <w:pPr>
        <w:pStyle w:val="Clause"/>
      </w:pPr>
      <w:r>
        <w:t xml:space="preserve">All </w:t>
      </w:r>
      <w:r w:rsidR="00434796">
        <w:t>Parties</w:t>
      </w:r>
      <w:r>
        <w:t xml:space="preserve"> must ensure that they have appropriate policies and procedures in place to facilitate both the protection and the exercising of </w:t>
      </w:r>
      <w:r w:rsidR="00434796">
        <w:t>Data Subject</w:t>
      </w:r>
      <w:r>
        <w:t xml:space="preserve"> rights.</w:t>
      </w:r>
    </w:p>
    <w:p w14:paraId="5D4179B5" w14:textId="2A3EE506" w:rsidR="00542CF3" w:rsidRDefault="00542CF3" w:rsidP="00542CF3">
      <w:pPr>
        <w:pStyle w:val="Clause"/>
      </w:pPr>
      <w:r>
        <w:t xml:space="preserve">All </w:t>
      </w:r>
      <w:r w:rsidR="00434796">
        <w:t>Parties</w:t>
      </w:r>
      <w:r>
        <w:t xml:space="preserve"> must be transparent and inform </w:t>
      </w:r>
      <w:r w:rsidR="00434796">
        <w:t>Data Subjects</w:t>
      </w:r>
      <w:r>
        <w:t xml:space="preserve"> of the intended processing and their applicable rights.</w:t>
      </w:r>
    </w:p>
    <w:p w14:paraId="3E2265F8" w14:textId="683833DE" w:rsidR="00542CF3" w:rsidRDefault="00542CF3" w:rsidP="00542CF3">
      <w:pPr>
        <w:pStyle w:val="Clause"/>
      </w:pPr>
      <w:r>
        <w:t xml:space="preserve">The </w:t>
      </w:r>
      <w:r w:rsidR="00434796">
        <w:t>Parties</w:t>
      </w:r>
      <w:r>
        <w:t xml:space="preserve"> each agree to provide </w:t>
      </w:r>
      <w:r w:rsidR="00E72FE4">
        <w:t>assistance, as</w:t>
      </w:r>
      <w:r>
        <w:t xml:space="preserve"> is reasonably required</w:t>
      </w:r>
      <w:r w:rsidR="009D1617">
        <w:t>,</w:t>
      </w:r>
      <w:r>
        <w:t xml:space="preserve"> to enable other </w:t>
      </w:r>
      <w:r w:rsidR="00434796">
        <w:t>Parties</w:t>
      </w:r>
      <w:r>
        <w:t xml:space="preserve"> to comply with requests from </w:t>
      </w:r>
      <w:r w:rsidR="00434796">
        <w:t>Data Subjects</w:t>
      </w:r>
      <w:r>
        <w:t xml:space="preserve"> to exercise their rights</w:t>
      </w:r>
      <w:r w:rsidR="00051ADA">
        <w:t xml:space="preserve"> </w:t>
      </w:r>
      <w:r>
        <w:t xml:space="preserve">under </w:t>
      </w:r>
      <w:r>
        <w:lastRenderedPageBreak/>
        <w:t>the Data Protection Legislation within the time limits imposed by Data Protection Legislation.</w:t>
      </w:r>
    </w:p>
    <w:p w14:paraId="48AEA4AC" w14:textId="55D5CE66" w:rsidR="00542CF3" w:rsidRDefault="00542CF3" w:rsidP="00542CF3">
      <w:pPr>
        <w:pStyle w:val="Clause"/>
      </w:pPr>
      <w:r>
        <w:t xml:space="preserve">All </w:t>
      </w:r>
      <w:r w:rsidR="00434796">
        <w:t>Parties</w:t>
      </w:r>
      <w:r>
        <w:t xml:space="preserve"> are responsible for maintaining a record of individual requests for information, the decisions made and any information that was exchanged. Records must include copies of the request for information, details of the data accessed and shared and</w:t>
      </w:r>
      <w:r w:rsidR="00F40E5D">
        <w:t>,</w:t>
      </w:r>
      <w:r>
        <w:t xml:space="preserve"> where relevant, notes of any meeting, correspondence or phone calls relating to the request.</w:t>
      </w:r>
    </w:p>
    <w:p w14:paraId="6EF0428F" w14:textId="53C711F8" w:rsidR="00542CF3" w:rsidRDefault="00542CF3" w:rsidP="00051ADA">
      <w:pPr>
        <w:pStyle w:val="Heading2"/>
      </w:pPr>
      <w:r>
        <w:t>FREEDOM OF INFORMATION ACT</w:t>
      </w:r>
    </w:p>
    <w:p w14:paraId="12364D41" w14:textId="4F2ABE10" w:rsidR="00542CF3" w:rsidRDefault="00542CF3" w:rsidP="00542CF3">
      <w:pPr>
        <w:pStyle w:val="Clause"/>
      </w:pPr>
      <w:r>
        <w:t xml:space="preserve">This  </w:t>
      </w:r>
      <w:r w:rsidR="00B64410">
        <w:t>overarching</w:t>
      </w:r>
      <w:r>
        <w:t xml:space="preserve"> data sharing protocol should be disclosed under the Freedom of Information Act and should become part of your Publication Scheme.</w:t>
      </w:r>
    </w:p>
    <w:p w14:paraId="483E8045" w14:textId="1F237434" w:rsidR="00542CF3" w:rsidRDefault="00542CF3" w:rsidP="00542CF3">
      <w:pPr>
        <w:pStyle w:val="Clause"/>
      </w:pPr>
      <w:r>
        <w:t xml:space="preserve">Where </w:t>
      </w:r>
      <w:r w:rsidR="00434796">
        <w:t>Parties</w:t>
      </w:r>
      <w:r>
        <w:t xml:space="preserve"> and/or their partners are not bound by this legislation consideration should still be given to referencing this information on their website.</w:t>
      </w:r>
    </w:p>
    <w:p w14:paraId="20CB9FC0" w14:textId="6AE84C95" w:rsidR="00542CF3" w:rsidRDefault="00542CF3" w:rsidP="00051ADA">
      <w:pPr>
        <w:pStyle w:val="Heading2"/>
      </w:pPr>
      <w:r>
        <w:t>SECURITY AND TRAINING</w:t>
      </w:r>
    </w:p>
    <w:p w14:paraId="3EBC4392" w14:textId="35CA53AA" w:rsidR="00542CF3" w:rsidRDefault="00542CF3" w:rsidP="00542CF3">
      <w:pPr>
        <w:pStyle w:val="Clause"/>
      </w:pPr>
      <w:r>
        <w:t xml:space="preserve">Without prejudice to the </w:t>
      </w:r>
      <w:r w:rsidR="00434796">
        <w:t>Parties’</w:t>
      </w:r>
      <w:r>
        <w:t xml:space="preserve"> other obligations in respect of information security, the </w:t>
      </w:r>
      <w:r w:rsidR="00434796">
        <w:t>Parties</w:t>
      </w:r>
      <w:r>
        <w:t xml:space="preserve"> agree to have in place throughout the term of their participation appropriate technical and organisational security measures as set out in Schedule 2 to;</w:t>
      </w:r>
    </w:p>
    <w:p w14:paraId="57790211" w14:textId="32D4A3EF" w:rsidR="00542CF3" w:rsidRDefault="00542CF3" w:rsidP="00051ADA">
      <w:pPr>
        <w:pStyle w:val="Bullets"/>
      </w:pPr>
      <w:r>
        <w:t>Prevent:</w:t>
      </w:r>
    </w:p>
    <w:p w14:paraId="585131B2" w14:textId="60484D5F" w:rsidR="00542CF3" w:rsidRDefault="00542CF3" w:rsidP="00051ADA">
      <w:pPr>
        <w:pStyle w:val="Sub-bullet"/>
      </w:pPr>
      <w:r>
        <w:t>unauthorised or unlawful processing of any shared Personal Data: and/or</w:t>
      </w:r>
    </w:p>
    <w:p w14:paraId="3DEC6C9B" w14:textId="36CFBDE8" w:rsidR="00542CF3" w:rsidRDefault="00542CF3" w:rsidP="00051ADA">
      <w:pPr>
        <w:pStyle w:val="Sub-bullet"/>
      </w:pPr>
      <w:r>
        <w:t>The accidental loss or destruction of, or damage to, the Shared Personal Data</w:t>
      </w:r>
    </w:p>
    <w:p w14:paraId="320F4236" w14:textId="0EAD2A1C" w:rsidR="00542CF3" w:rsidRDefault="00542CF3" w:rsidP="00051ADA">
      <w:pPr>
        <w:pStyle w:val="Bullets"/>
      </w:pPr>
      <w:r>
        <w:t>Ensure a level of security appropriate to:</w:t>
      </w:r>
    </w:p>
    <w:p w14:paraId="0E6BEB89" w14:textId="24A63934" w:rsidR="00542CF3" w:rsidRDefault="00542CF3" w:rsidP="00051ADA">
      <w:pPr>
        <w:pStyle w:val="Sub-bullet"/>
      </w:pPr>
      <w:r>
        <w:t>The harm that might result from such unauthorised or unlawful processing or accidental loss, destruction</w:t>
      </w:r>
      <w:r w:rsidR="00B64410">
        <w:t>,</w:t>
      </w:r>
      <w:r>
        <w:t xml:space="preserve"> or damage; and/or</w:t>
      </w:r>
    </w:p>
    <w:p w14:paraId="5D37990C" w14:textId="292CDD4A" w:rsidR="00542CF3" w:rsidRDefault="00542CF3" w:rsidP="00051ADA">
      <w:pPr>
        <w:pStyle w:val="Sub-bullet"/>
      </w:pPr>
      <w:r>
        <w:t>The nature of the Shared Personal Data to be protected</w:t>
      </w:r>
    </w:p>
    <w:p w14:paraId="38F736A1" w14:textId="2DF87128" w:rsidR="00542CF3" w:rsidRDefault="00542CF3" w:rsidP="00542CF3">
      <w:pPr>
        <w:pStyle w:val="Clause"/>
      </w:pPr>
      <w:r>
        <w:t xml:space="preserve">It is the responsibility of each </w:t>
      </w:r>
      <w:r w:rsidR="00434796">
        <w:t>Party</w:t>
      </w:r>
      <w:r>
        <w:t xml:space="preserve"> to ensure that its staff members are appropriately trained to handle and process the Shared Personal Data in accordance with the organisational and technical security measures set out in Schedule 2 together with any other applicable national data protection laws and guidance and have entered into an employment contract inclusive of confidentiality clauses for the Processing of Personal Data.</w:t>
      </w:r>
    </w:p>
    <w:p w14:paraId="7EF78D16" w14:textId="2F19E18D" w:rsidR="00542CF3" w:rsidRDefault="00542CF3" w:rsidP="00542CF3">
      <w:pPr>
        <w:pStyle w:val="Clause"/>
      </w:pPr>
      <w:r>
        <w:t xml:space="preserve">The level, content and regularity of training shall be proportionate to the </w:t>
      </w:r>
      <w:r w:rsidR="00434796">
        <w:t>Parties’</w:t>
      </w:r>
      <w:r>
        <w:t xml:space="preserve"> staff, agency workers, volunteers and others working on their behalf, including their partners, agents</w:t>
      </w:r>
      <w:r w:rsidR="00B64410">
        <w:t>,</w:t>
      </w:r>
      <w:r>
        <w:t xml:space="preserve"> and sub-contractors’ role.</w:t>
      </w:r>
    </w:p>
    <w:p w14:paraId="79EC7395" w14:textId="1EA7C29A" w:rsidR="00542CF3" w:rsidRDefault="00542CF3" w:rsidP="00051ADA">
      <w:pPr>
        <w:pStyle w:val="Heading2"/>
      </w:pPr>
      <w:r>
        <w:t>PERSONAL DATA BREACHES AND REPORTING PROCEDURES</w:t>
      </w:r>
    </w:p>
    <w:p w14:paraId="7F1B1F39" w14:textId="55F9F41D" w:rsidR="00542CF3" w:rsidRDefault="00542CF3" w:rsidP="00542CF3">
      <w:pPr>
        <w:pStyle w:val="Clause"/>
      </w:pPr>
      <w:r>
        <w:t xml:space="preserve">The </w:t>
      </w:r>
      <w:r w:rsidR="00434796">
        <w:t>Parties</w:t>
      </w:r>
      <w:r>
        <w:t xml:space="preserve"> shall each comply with the obligation to report a Personal Data Breach to the appropriate Supervisory Authority and (where applicable) </w:t>
      </w:r>
      <w:r w:rsidR="00434796">
        <w:t>Data Subjects</w:t>
      </w:r>
      <w:r>
        <w:t xml:space="preserve"> under Article 33 of UK GDPR and shall each inform the other </w:t>
      </w:r>
      <w:r w:rsidR="00434796">
        <w:t>Party</w:t>
      </w:r>
      <w:r>
        <w:t>/</w:t>
      </w:r>
      <w:r w:rsidR="00434796">
        <w:t>Parties</w:t>
      </w:r>
      <w:r>
        <w:t xml:space="preserve"> of any Personal Data Breach irrespective of whether there is a requirement to notify any Supervisory Authority or </w:t>
      </w:r>
      <w:r w:rsidR="00434796">
        <w:t>Data Subject</w:t>
      </w:r>
      <w:r>
        <w:t>(s).</w:t>
      </w:r>
    </w:p>
    <w:p w14:paraId="4E89D6E6" w14:textId="7116E283" w:rsidR="00542CF3" w:rsidRDefault="00542CF3" w:rsidP="00542CF3">
      <w:pPr>
        <w:pStyle w:val="Clause"/>
      </w:pPr>
      <w:r>
        <w:lastRenderedPageBreak/>
        <w:t xml:space="preserve">The </w:t>
      </w:r>
      <w:r w:rsidR="00434796">
        <w:t>Parties</w:t>
      </w:r>
      <w:r>
        <w:t xml:space="preserve"> agree to provide reasonable assistance as is necessary to each other to facilitate the handling of any Personal data Breach in an expeditious and compliant manner.</w:t>
      </w:r>
    </w:p>
    <w:p w14:paraId="190625E0" w14:textId="7234FEE8" w:rsidR="00542CF3" w:rsidRDefault="00542CF3" w:rsidP="00051ADA">
      <w:pPr>
        <w:pStyle w:val="Heading2"/>
      </w:pPr>
      <w:r>
        <w:t>TRANSFERS</w:t>
      </w:r>
    </w:p>
    <w:p w14:paraId="1BE7C091" w14:textId="085248AE" w:rsidR="00542CF3" w:rsidRDefault="00542CF3" w:rsidP="00542CF3">
      <w:pPr>
        <w:pStyle w:val="Clause"/>
      </w:pPr>
      <w:bookmarkStart w:id="2" w:name="_Ref123902890"/>
      <w:r>
        <w:t>Shared Personal Data may only be transferred outside of the UK in compliance with the conditions for transfers set out in Chapter V of the UK GDPR.</w:t>
      </w:r>
      <w:bookmarkEnd w:id="2"/>
    </w:p>
    <w:p w14:paraId="24D34B60" w14:textId="60CE8CCA" w:rsidR="00542CF3" w:rsidRDefault="00542CF3" w:rsidP="00542CF3">
      <w:pPr>
        <w:pStyle w:val="Clause"/>
      </w:pPr>
      <w:r>
        <w:t xml:space="preserve">The </w:t>
      </w:r>
      <w:r w:rsidR="00434796">
        <w:t>Parties</w:t>
      </w:r>
      <w:r>
        <w:t xml:space="preserve"> shall not be permitted to transfer Shared Personal Data to a third party unless it is required or allowed by law. The </w:t>
      </w:r>
      <w:r w:rsidR="00434796">
        <w:t>Parties</w:t>
      </w:r>
      <w:r>
        <w:t xml:space="preserve"> agree to notify any impacted </w:t>
      </w:r>
      <w:r w:rsidR="00434796">
        <w:t>Parties</w:t>
      </w:r>
      <w:r>
        <w:t xml:space="preserve"> of any such transfers as soon as it becomes aware the transfer is taking place.</w:t>
      </w:r>
    </w:p>
    <w:p w14:paraId="58FF6D67" w14:textId="1736C08A" w:rsidR="00542CF3" w:rsidRDefault="00542CF3" w:rsidP="00542CF3">
      <w:pPr>
        <w:pStyle w:val="Clause"/>
      </w:pPr>
      <w:r>
        <w:t xml:space="preserve">If any </w:t>
      </w:r>
      <w:r w:rsidR="00434796">
        <w:t>Party</w:t>
      </w:r>
      <w:r>
        <w:t xml:space="preserve"> appoints a third-party </w:t>
      </w:r>
      <w:r w:rsidR="00434796">
        <w:t>Processor</w:t>
      </w:r>
      <w:r>
        <w:t xml:space="preserve"> to </w:t>
      </w:r>
      <w:r w:rsidR="00ED4026">
        <w:t>p</w:t>
      </w:r>
      <w:r>
        <w:t xml:space="preserve">rocess the Shared Personal Data it shall comply with Article 28 and Article 30 of UK GDPR and shall remain liable to the </w:t>
      </w:r>
      <w:r w:rsidR="00434796">
        <w:t>Parties</w:t>
      </w:r>
      <w:r>
        <w:t xml:space="preserve"> for any acts and/or omissions of the </w:t>
      </w:r>
      <w:r w:rsidR="00434796">
        <w:t>Processor</w:t>
      </w:r>
    </w:p>
    <w:p w14:paraId="5AC4EBDB" w14:textId="7CD97A43" w:rsidR="00ED4026" w:rsidRDefault="00876CD2" w:rsidP="00542CF3">
      <w:pPr>
        <w:pStyle w:val="Clause"/>
      </w:pPr>
      <w:r>
        <w:t>The identity and any processing activities of any third-party Processor</w:t>
      </w:r>
      <w:r w:rsidR="00C96740">
        <w:t>(s)</w:t>
      </w:r>
      <w:r>
        <w:t xml:space="preserve"> shall be identified in the Specific Information Sharing Agreement (Schedule 1)</w:t>
      </w:r>
    </w:p>
    <w:p w14:paraId="5A14E5DA" w14:textId="33324B08" w:rsidR="00542CF3" w:rsidRDefault="00542CF3" w:rsidP="00051ADA">
      <w:pPr>
        <w:pStyle w:val="Heading2"/>
      </w:pPr>
      <w:r>
        <w:t>LIABILITY</w:t>
      </w:r>
    </w:p>
    <w:p w14:paraId="6EC2C970" w14:textId="2A852C53" w:rsidR="00542CF3" w:rsidRDefault="00542CF3" w:rsidP="00542CF3">
      <w:pPr>
        <w:pStyle w:val="Clause"/>
      </w:pPr>
      <w:r>
        <w:t xml:space="preserve">No </w:t>
      </w:r>
      <w:r w:rsidR="00434796">
        <w:t>Party</w:t>
      </w:r>
      <w:r>
        <w:t xml:space="preserve"> excludes or limits liability to the other </w:t>
      </w:r>
      <w:r w:rsidR="00434796">
        <w:t>Party</w:t>
      </w:r>
      <w:r>
        <w:t>(</w:t>
      </w:r>
      <w:proofErr w:type="spellStart"/>
      <w:r>
        <w:t>ies</w:t>
      </w:r>
      <w:proofErr w:type="spellEnd"/>
      <w:r>
        <w:t>) for:</w:t>
      </w:r>
    </w:p>
    <w:p w14:paraId="41B6C772" w14:textId="25C7A639" w:rsidR="00542CF3" w:rsidRDefault="00542CF3" w:rsidP="00051ADA">
      <w:pPr>
        <w:pStyle w:val="Bullets"/>
      </w:pPr>
      <w:r>
        <w:t>fraud or fraudulent misrepresentation.</w:t>
      </w:r>
    </w:p>
    <w:p w14:paraId="1C0E40B3" w14:textId="504C2CC6" w:rsidR="00542CF3" w:rsidRDefault="00542CF3" w:rsidP="00051ADA">
      <w:pPr>
        <w:pStyle w:val="Bullets"/>
      </w:pPr>
      <w:r>
        <w:t>death or personal injury caused by negligence.</w:t>
      </w:r>
    </w:p>
    <w:p w14:paraId="69D4D629" w14:textId="4858003D" w:rsidR="00542CF3" w:rsidRDefault="00542CF3" w:rsidP="00051ADA">
      <w:pPr>
        <w:pStyle w:val="Bullets"/>
      </w:pPr>
      <w:r>
        <w:t>a breach of any obligations implied by section 12 of the Sale of Goods Act 1979 or section 2 of the Supply of Goods and Services Act 1982; or</w:t>
      </w:r>
    </w:p>
    <w:p w14:paraId="2528D982" w14:textId="52023CD9" w:rsidR="00542CF3" w:rsidRDefault="00542CF3" w:rsidP="00051ADA">
      <w:pPr>
        <w:pStyle w:val="Bullets"/>
      </w:pPr>
      <w:r>
        <w:t xml:space="preserve">any matter for which it would be unlawful for the </w:t>
      </w:r>
      <w:r w:rsidR="00434796">
        <w:t>Parties</w:t>
      </w:r>
      <w:r>
        <w:t xml:space="preserve"> to exclude liability.</w:t>
      </w:r>
    </w:p>
    <w:p w14:paraId="2B2D184F" w14:textId="22B8249B" w:rsidR="00542CF3" w:rsidRDefault="00542CF3" w:rsidP="00542CF3">
      <w:pPr>
        <w:pStyle w:val="Clause"/>
      </w:pPr>
      <w:r>
        <w:t xml:space="preserve"> Subject to clause </w:t>
      </w:r>
      <w:r w:rsidR="00FB40F3">
        <w:fldChar w:fldCharType="begin"/>
      </w:r>
      <w:r w:rsidR="00FB40F3">
        <w:instrText xml:space="preserve"> REF _Ref123902890 \r \h </w:instrText>
      </w:r>
      <w:r w:rsidR="00FB40F3">
        <w:fldChar w:fldCharType="separate"/>
      </w:r>
      <w:r w:rsidR="00FB40F3">
        <w:t>10.1</w:t>
      </w:r>
      <w:r w:rsidR="00FB40F3">
        <w:fldChar w:fldCharType="end"/>
      </w:r>
      <w:r>
        <w:t xml:space="preserve">, no </w:t>
      </w:r>
      <w:r w:rsidR="00434796">
        <w:t>Party</w:t>
      </w:r>
      <w:r>
        <w:t xml:space="preserve"> shall in any circumstances be liable whether in contract, tort (including for negligence and breach of statutory duty howsoever arising), misrepresentation (whether innocent or negligent), restitution or otherwise, for:</w:t>
      </w:r>
    </w:p>
    <w:p w14:paraId="7C0A5E7F" w14:textId="7D3A95CC" w:rsidR="00542CF3" w:rsidRDefault="00542CF3" w:rsidP="00051ADA">
      <w:pPr>
        <w:pStyle w:val="Bullets"/>
      </w:pPr>
      <w:r>
        <w:t>any loss (whether direct or indirect) of profits, business, business opportunities, revenue, turnover, reputation</w:t>
      </w:r>
      <w:r w:rsidR="00B64410">
        <w:t>,</w:t>
      </w:r>
      <w:r>
        <w:t xml:space="preserve"> or goodwill.</w:t>
      </w:r>
    </w:p>
    <w:p w14:paraId="34D81923" w14:textId="044C0A03" w:rsidR="00542CF3" w:rsidRDefault="00542CF3" w:rsidP="00051ADA">
      <w:pPr>
        <w:pStyle w:val="Bullets"/>
      </w:pPr>
      <w:r>
        <w:t>loss (whether direct or indirect) of anticipated savings or wasted expenditure (including management time); or</w:t>
      </w:r>
    </w:p>
    <w:p w14:paraId="614915E0" w14:textId="34845501" w:rsidR="00542CF3" w:rsidRDefault="00542CF3" w:rsidP="00051ADA">
      <w:pPr>
        <w:pStyle w:val="Bullets"/>
      </w:pPr>
      <w:r>
        <w:t>any loss or liability (whether direct or indirect) under or in relation to any other contract.</w:t>
      </w:r>
    </w:p>
    <w:p w14:paraId="4BD91B20" w14:textId="394C194B" w:rsidR="00542CF3" w:rsidRDefault="00542CF3" w:rsidP="00051ADA">
      <w:pPr>
        <w:pStyle w:val="Heading2"/>
      </w:pPr>
      <w:r>
        <w:t>DISPUTE RESOLUTION (</w:t>
      </w:r>
      <w:r w:rsidR="00434796">
        <w:t>DATA SUBJECTS</w:t>
      </w:r>
      <w:r>
        <w:t xml:space="preserve"> &amp; SUPERVISORY AUTHORITY)</w:t>
      </w:r>
    </w:p>
    <w:p w14:paraId="5E809297" w14:textId="06FB7710" w:rsidR="00051ADA" w:rsidRDefault="00542CF3" w:rsidP="00542CF3">
      <w:pPr>
        <w:pStyle w:val="Clause"/>
      </w:pPr>
      <w:r>
        <w:t xml:space="preserve">In the event of a claim or dispute brought by a </w:t>
      </w:r>
      <w:r w:rsidR="00434796">
        <w:t>Data Subject</w:t>
      </w:r>
      <w:r>
        <w:t xml:space="preserve"> or the Supervisory Authority concerning the Processing of Shared Personal Data against any </w:t>
      </w:r>
      <w:r w:rsidR="00434796">
        <w:t>Party</w:t>
      </w:r>
      <w:r>
        <w:t xml:space="preserve">, the </w:t>
      </w:r>
      <w:r w:rsidR="00434796">
        <w:t>Parties</w:t>
      </w:r>
      <w:r>
        <w:t xml:space="preserve"> will inform each other about any such disputes or claims and will cooperate with a view to settling them amicably in a timely fashion.</w:t>
      </w:r>
    </w:p>
    <w:p w14:paraId="189CC907" w14:textId="423EEC6B" w:rsidR="00542CF3" w:rsidRDefault="00542CF3" w:rsidP="00542CF3">
      <w:pPr>
        <w:pStyle w:val="Clause"/>
      </w:pPr>
      <w:r>
        <w:t xml:space="preserve">The </w:t>
      </w:r>
      <w:r w:rsidR="00434796">
        <w:t>Parties</w:t>
      </w:r>
      <w:r>
        <w:t xml:space="preserve"> agree to respond to any generally available non-binding mediation procedure initiated by a </w:t>
      </w:r>
      <w:r w:rsidR="00434796">
        <w:t>Data Subject</w:t>
      </w:r>
      <w:r>
        <w:t xml:space="preserve"> or by the Supervisory Authority. If participating </w:t>
      </w:r>
      <w:r>
        <w:lastRenderedPageBreak/>
        <w:t xml:space="preserve">in proceedings, the </w:t>
      </w:r>
      <w:r w:rsidR="00434796">
        <w:t>Parties</w:t>
      </w:r>
      <w:r>
        <w:t xml:space="preserve"> may elect to do so remotely (such as by telephone or other electronic means). The </w:t>
      </w:r>
      <w:r w:rsidR="00434796">
        <w:t>Parties</w:t>
      </w:r>
      <w:r>
        <w:t xml:space="preserve"> also agree to consider</w:t>
      </w:r>
      <w:r w:rsidR="00051ADA">
        <w:t xml:space="preserve"> </w:t>
      </w:r>
      <w:r>
        <w:t>participating in any other arbitration, mediation or other dispute resolution proceedings developed for data protection disputes.</w:t>
      </w:r>
    </w:p>
    <w:p w14:paraId="51D8D308" w14:textId="4D8C6385" w:rsidR="00542CF3" w:rsidRDefault="00542CF3" w:rsidP="00051ADA">
      <w:pPr>
        <w:pStyle w:val="Heading2"/>
      </w:pPr>
      <w:r>
        <w:t xml:space="preserve">THIRD </w:t>
      </w:r>
      <w:r w:rsidR="00434796">
        <w:t>PARTY</w:t>
      </w:r>
      <w:r>
        <w:t xml:space="preserve"> RIGHTS</w:t>
      </w:r>
    </w:p>
    <w:p w14:paraId="0624AA4F" w14:textId="083D90A5" w:rsidR="00542CF3" w:rsidRDefault="00542CF3" w:rsidP="00542CF3">
      <w:pPr>
        <w:pStyle w:val="Clause"/>
      </w:pPr>
      <w:r>
        <w:t xml:space="preserve">A person who is not a </w:t>
      </w:r>
      <w:r w:rsidR="00434796">
        <w:t>Party</w:t>
      </w:r>
      <w:r>
        <w:t xml:space="preserve"> to this Agreement shall not have any rights under the Contracts (Rights of Third </w:t>
      </w:r>
      <w:r w:rsidR="00434796">
        <w:t>Parties</w:t>
      </w:r>
      <w:r>
        <w:t xml:space="preserve">) Act 1999 to enforce any term of this Agreement. This does not affect any right or remedy of a third </w:t>
      </w:r>
      <w:r w:rsidR="00434796">
        <w:t>Party</w:t>
      </w:r>
      <w:r>
        <w:t xml:space="preserve"> which exists, or is available, apart from that Act.</w:t>
      </w:r>
    </w:p>
    <w:p w14:paraId="47A6485A" w14:textId="23633B03" w:rsidR="00542CF3" w:rsidRDefault="00542CF3" w:rsidP="00542CF3">
      <w:pPr>
        <w:pStyle w:val="Clause"/>
      </w:pPr>
      <w:r>
        <w:t xml:space="preserve">No one other than a </w:t>
      </w:r>
      <w:r w:rsidR="00434796">
        <w:t>Party</w:t>
      </w:r>
      <w:r>
        <w:t xml:space="preserve"> to this Agreement, their successors and permitted assignees, shall have any right to enforce any of its terms.</w:t>
      </w:r>
    </w:p>
    <w:p w14:paraId="5132929D" w14:textId="73529231" w:rsidR="00542CF3" w:rsidRDefault="00542CF3" w:rsidP="00051ADA">
      <w:pPr>
        <w:pStyle w:val="Heading2"/>
      </w:pPr>
      <w:r>
        <w:t>SEVERANCE</w:t>
      </w:r>
    </w:p>
    <w:p w14:paraId="1C2F7CC9" w14:textId="1A079592" w:rsidR="00542CF3" w:rsidRDefault="00542CF3" w:rsidP="00542CF3">
      <w:pPr>
        <w:pStyle w:val="Clause"/>
      </w:pPr>
      <w:bookmarkStart w:id="3" w:name="_Ref123895156"/>
      <w:r>
        <w:t>If any provision or part-provision of this Agreement is or becomes invalid, illegal or unenforceable, it shall be deemed deleted, but that shall not affect the validity and enforceability of the rest of this Agreement.</w:t>
      </w:r>
      <w:bookmarkEnd w:id="3"/>
    </w:p>
    <w:p w14:paraId="64D2E623" w14:textId="3CE2D0D3" w:rsidR="00542CF3" w:rsidRDefault="00542CF3" w:rsidP="00542CF3">
      <w:pPr>
        <w:pStyle w:val="Clause"/>
      </w:pPr>
      <w:r>
        <w:t xml:space="preserve">If any provision or part-provision of this Agreement is deemed deleted under clause </w:t>
      </w:r>
      <w:r w:rsidR="00051ADA">
        <w:fldChar w:fldCharType="begin"/>
      </w:r>
      <w:r w:rsidR="00051ADA">
        <w:instrText xml:space="preserve"> REF _Ref123895156 \r \h </w:instrText>
      </w:r>
      <w:r w:rsidR="00051ADA">
        <w:fldChar w:fldCharType="separate"/>
      </w:r>
      <w:r w:rsidR="00051ADA">
        <w:t>13.1</w:t>
      </w:r>
      <w:r w:rsidR="00051ADA">
        <w:fldChar w:fldCharType="end"/>
      </w:r>
      <w:r>
        <w:t xml:space="preserve">, the </w:t>
      </w:r>
      <w:r w:rsidR="00434796">
        <w:t>Parties</w:t>
      </w:r>
      <w:r>
        <w:t xml:space="preserve"> shall negotiate in good faith to agree a replacement provision that, to the greatest extent possible, achieves the intended result of the original provision.</w:t>
      </w:r>
    </w:p>
    <w:p w14:paraId="09D3B29F" w14:textId="0A1343A1" w:rsidR="00542CF3" w:rsidRDefault="00542CF3" w:rsidP="00822510">
      <w:pPr>
        <w:pStyle w:val="Heading2"/>
      </w:pPr>
      <w:r>
        <w:t>NO PARTNERSHIP OR AGENCY</w:t>
      </w:r>
    </w:p>
    <w:p w14:paraId="19783270" w14:textId="04C56692" w:rsidR="00542CF3" w:rsidRDefault="00542CF3" w:rsidP="00542CF3">
      <w:pPr>
        <w:pStyle w:val="Clause"/>
      </w:pPr>
      <w:r>
        <w:t xml:space="preserve">Nothing in this Agreement is intended to, or shall be deemed to, establish any partnership or joint venture between any of the </w:t>
      </w:r>
      <w:r w:rsidR="00434796">
        <w:t>Parties</w:t>
      </w:r>
      <w:r>
        <w:t xml:space="preserve">, constitute any </w:t>
      </w:r>
      <w:r w:rsidR="00434796">
        <w:t>Party</w:t>
      </w:r>
      <w:r>
        <w:t xml:space="preserve"> the agent of another </w:t>
      </w:r>
      <w:r w:rsidR="00434796">
        <w:t>Party</w:t>
      </w:r>
      <w:r>
        <w:t xml:space="preserve">, or authorise any </w:t>
      </w:r>
      <w:r w:rsidR="00434796">
        <w:t>Party</w:t>
      </w:r>
      <w:r>
        <w:t xml:space="preserve"> to make or enter into any commitments for or on behalf of any other </w:t>
      </w:r>
      <w:r w:rsidR="00434796">
        <w:t>Party</w:t>
      </w:r>
      <w:r>
        <w:t>.</w:t>
      </w:r>
    </w:p>
    <w:p w14:paraId="3333C0C4" w14:textId="63E8FC50" w:rsidR="00542CF3" w:rsidRDefault="00542CF3" w:rsidP="00542CF3">
      <w:pPr>
        <w:pStyle w:val="Clause"/>
      </w:pPr>
      <w:r>
        <w:t xml:space="preserve">Each </w:t>
      </w:r>
      <w:r w:rsidR="00434796">
        <w:t>Party</w:t>
      </w:r>
      <w:r>
        <w:t xml:space="preserve"> confirms it is acting on its own behalf and not for the benefit of any other person.</w:t>
      </w:r>
    </w:p>
    <w:p w14:paraId="75864904" w14:textId="775A21A7" w:rsidR="00191634" w:rsidRDefault="00191634">
      <w:pPr>
        <w:spacing w:after="200" w:line="276" w:lineRule="auto"/>
        <w:jc w:val="left"/>
      </w:pPr>
      <w:r>
        <w:br w:type="page"/>
      </w:r>
    </w:p>
    <w:p w14:paraId="6376DD04" w14:textId="1111B28B" w:rsidR="00542CF3" w:rsidRDefault="00542CF3" w:rsidP="00822510">
      <w:pPr>
        <w:pStyle w:val="Heading2"/>
      </w:pPr>
      <w:r>
        <w:lastRenderedPageBreak/>
        <w:t>REVIEW</w:t>
      </w:r>
    </w:p>
    <w:p w14:paraId="6209DD09" w14:textId="01DC6F2E" w:rsidR="00542CF3" w:rsidRDefault="00542CF3" w:rsidP="00542CF3">
      <w:pPr>
        <w:pStyle w:val="Clause"/>
      </w:pPr>
      <w:r>
        <w:t>This overarching data sharing protocol will be reviewed by the Gloucestershire Information Governance Group at least every 3 years unless it is required to do so following changes to Data Protection legislation.</w:t>
      </w:r>
    </w:p>
    <w:p w14:paraId="2F718267" w14:textId="6282A4CD" w:rsidR="00542CF3" w:rsidRDefault="00542CF3" w:rsidP="00822510">
      <w:pPr>
        <w:pStyle w:val="Heading2"/>
        <w:numPr>
          <w:ilvl w:val="0"/>
          <w:numId w:val="0"/>
        </w:numPr>
      </w:pPr>
      <w:r>
        <w:t>DOCUMENT INFORMATION</w:t>
      </w:r>
    </w:p>
    <w:tbl>
      <w:tblPr>
        <w:tblStyle w:val="TableGrid"/>
        <w:tblpPr w:leftFromText="180" w:rightFromText="180" w:vertAnchor="text" w:horzAnchor="margin" w:tblpX="1" w:tblpY="128"/>
        <w:tblW w:w="5000" w:type="pct"/>
        <w:tblLook w:val="04A0" w:firstRow="1" w:lastRow="0" w:firstColumn="1" w:lastColumn="0" w:noHBand="0" w:noVBand="1"/>
      </w:tblPr>
      <w:tblGrid>
        <w:gridCol w:w="2983"/>
        <w:gridCol w:w="6753"/>
      </w:tblGrid>
      <w:tr w:rsidR="00822510" w:rsidRPr="00822510" w14:paraId="0EBE0609" w14:textId="77777777" w:rsidTr="00627ECF">
        <w:tc>
          <w:tcPr>
            <w:tcW w:w="1532" w:type="pct"/>
          </w:tcPr>
          <w:p w14:paraId="519B01B0" w14:textId="77777777" w:rsidR="00822510" w:rsidRPr="00822510" w:rsidRDefault="00822510" w:rsidP="00AB450C">
            <w:pPr>
              <w:pStyle w:val="TableText"/>
            </w:pPr>
            <w:r w:rsidRPr="00822510">
              <w:t>Document owner:</w:t>
            </w:r>
          </w:p>
        </w:tc>
        <w:tc>
          <w:tcPr>
            <w:tcW w:w="3468" w:type="pct"/>
          </w:tcPr>
          <w:p w14:paraId="429CA6F6" w14:textId="77777777" w:rsidR="00822510" w:rsidRPr="00822510" w:rsidRDefault="00822510" w:rsidP="00AB450C">
            <w:pPr>
              <w:pStyle w:val="TableText"/>
            </w:pPr>
            <w:r w:rsidRPr="00822510">
              <w:t>Gloucestershire Information Governance Group (GIGG)</w:t>
            </w:r>
          </w:p>
        </w:tc>
      </w:tr>
      <w:tr w:rsidR="00822510" w:rsidRPr="00822510" w14:paraId="7EEB2FDD" w14:textId="77777777" w:rsidTr="00627ECF">
        <w:tc>
          <w:tcPr>
            <w:tcW w:w="1532" w:type="pct"/>
          </w:tcPr>
          <w:p w14:paraId="2AFA3281" w14:textId="77777777" w:rsidR="00822510" w:rsidRPr="00822510" w:rsidRDefault="00822510" w:rsidP="00AB450C">
            <w:pPr>
              <w:pStyle w:val="TableText"/>
            </w:pPr>
            <w:r w:rsidRPr="00822510">
              <w:t xml:space="preserve">Next major review date: </w:t>
            </w:r>
          </w:p>
        </w:tc>
        <w:tc>
          <w:tcPr>
            <w:tcW w:w="3468" w:type="pct"/>
          </w:tcPr>
          <w:p w14:paraId="5B705148" w14:textId="5B8825D6" w:rsidR="00822510" w:rsidRPr="00822510" w:rsidRDefault="00211B14" w:rsidP="00AB450C">
            <w:pPr>
              <w:pStyle w:val="TableText"/>
            </w:pPr>
            <w:r>
              <w:t>August 2026</w:t>
            </w:r>
          </w:p>
        </w:tc>
      </w:tr>
      <w:tr w:rsidR="00822510" w:rsidRPr="00822510" w14:paraId="3B0F9BDD" w14:textId="77777777" w:rsidTr="00627ECF">
        <w:tc>
          <w:tcPr>
            <w:tcW w:w="1532" w:type="pct"/>
          </w:tcPr>
          <w:p w14:paraId="1F982307" w14:textId="77777777" w:rsidR="00822510" w:rsidRPr="00822510" w:rsidRDefault="00822510" w:rsidP="00AB450C">
            <w:pPr>
              <w:pStyle w:val="TableText"/>
            </w:pPr>
            <w:r w:rsidRPr="00822510">
              <w:t>Version:</w:t>
            </w:r>
          </w:p>
        </w:tc>
        <w:tc>
          <w:tcPr>
            <w:tcW w:w="3468" w:type="pct"/>
          </w:tcPr>
          <w:p w14:paraId="2A849332" w14:textId="23FCAB35" w:rsidR="00822510" w:rsidRPr="00822510" w:rsidRDefault="00822510" w:rsidP="00AB450C">
            <w:pPr>
              <w:pStyle w:val="TableText"/>
            </w:pPr>
            <w:r w:rsidRPr="00822510">
              <w:t>5.</w:t>
            </w:r>
            <w:r w:rsidR="00F8108C">
              <w:t>1</w:t>
            </w:r>
          </w:p>
        </w:tc>
      </w:tr>
      <w:tr w:rsidR="00822510" w:rsidRPr="00822510" w14:paraId="01FE1576" w14:textId="77777777" w:rsidTr="00627ECF">
        <w:tc>
          <w:tcPr>
            <w:tcW w:w="1532" w:type="pct"/>
          </w:tcPr>
          <w:p w14:paraId="60DB37B0" w14:textId="77777777" w:rsidR="00822510" w:rsidRPr="00822510" w:rsidRDefault="00822510" w:rsidP="00AB450C">
            <w:pPr>
              <w:pStyle w:val="TableText"/>
            </w:pPr>
            <w:r w:rsidRPr="00822510">
              <w:t>Summary of changes:</w:t>
            </w:r>
          </w:p>
        </w:tc>
        <w:tc>
          <w:tcPr>
            <w:tcW w:w="3468" w:type="pct"/>
          </w:tcPr>
          <w:p w14:paraId="718B2426" w14:textId="61F2E6D3" w:rsidR="00822510" w:rsidRDefault="00822510" w:rsidP="00AB450C">
            <w:pPr>
              <w:pStyle w:val="TableText"/>
            </w:pPr>
            <w:r w:rsidRPr="00822510">
              <w:t xml:space="preserve">Major review of core framework to cover legal requirements and standard clauses; dispute resolution, third </w:t>
            </w:r>
            <w:r w:rsidR="00434796">
              <w:t>Party</w:t>
            </w:r>
            <w:r w:rsidRPr="00822510">
              <w:t xml:space="preserve"> rights and severance.</w:t>
            </w:r>
          </w:p>
          <w:p w14:paraId="3574C4CE" w14:textId="77777777" w:rsidR="00822510" w:rsidRDefault="00822510" w:rsidP="00AB450C">
            <w:pPr>
              <w:pStyle w:val="TableText"/>
            </w:pPr>
            <w:r w:rsidRPr="00822510">
              <w:t>Removed reference to professional standards and specific accreditations</w:t>
            </w:r>
          </w:p>
          <w:p w14:paraId="54F442F0" w14:textId="6F2339FE" w:rsidR="00822510" w:rsidRPr="00822510" w:rsidRDefault="00822510" w:rsidP="00AB450C">
            <w:pPr>
              <w:pStyle w:val="TableText"/>
            </w:pPr>
            <w:r w:rsidRPr="00822510">
              <w:t>Major review of SISA to include legal requirements and mechanics of sharing</w:t>
            </w:r>
          </w:p>
          <w:p w14:paraId="54833CC2" w14:textId="5BAE3766" w:rsidR="00822510" w:rsidRDefault="00822510" w:rsidP="00AB450C">
            <w:pPr>
              <w:pStyle w:val="TableText"/>
              <w:rPr>
                <w:bCs/>
              </w:rPr>
            </w:pPr>
            <w:r w:rsidRPr="00822510">
              <w:t>Included appendix within the SISA for information and processing restrictions and baseline organisational and technical measures</w:t>
            </w:r>
            <w:r w:rsidR="00AE7D4B">
              <w:br/>
            </w:r>
            <w:r w:rsidR="00AE7D4B">
              <w:rPr>
                <w:b/>
              </w:rPr>
              <w:br/>
            </w:r>
            <w:r w:rsidR="00AE7D4B" w:rsidRPr="0040678E">
              <w:t>Minor Review</w:t>
            </w:r>
            <w:r w:rsidR="00351337">
              <w:rPr>
                <w:bCs/>
              </w:rPr>
              <w:t xml:space="preserve"> of overarching framework and major review of Schedule 1 (</w:t>
            </w:r>
            <w:r w:rsidR="00AD0ECA">
              <w:t>August</w:t>
            </w:r>
            <w:r w:rsidR="0043024A">
              <w:t xml:space="preserve"> 2024</w:t>
            </w:r>
            <w:r w:rsidR="00351337">
              <w:rPr>
                <w:bCs/>
              </w:rPr>
              <w:t>)</w:t>
            </w:r>
            <w:r w:rsidR="00AE7D4B" w:rsidRPr="0040678E">
              <w:t>:</w:t>
            </w:r>
            <w:r w:rsidR="00AE7D4B">
              <w:rPr>
                <w:b/>
              </w:rPr>
              <w:br/>
            </w:r>
            <w:r w:rsidR="00AE7D4B">
              <w:rPr>
                <w:b/>
              </w:rPr>
              <w:br/>
            </w:r>
            <w:r w:rsidR="00AE7D4B">
              <w:rPr>
                <w:bCs/>
              </w:rPr>
              <w:t xml:space="preserve">Revised grammar and </w:t>
            </w:r>
            <w:r w:rsidR="00F43EB0">
              <w:rPr>
                <w:bCs/>
              </w:rPr>
              <w:t>punctuation.</w:t>
            </w:r>
          </w:p>
          <w:p w14:paraId="11855405" w14:textId="3132C7BC" w:rsidR="00FA490C" w:rsidRDefault="00F43EB0" w:rsidP="00AB450C">
            <w:pPr>
              <w:pStyle w:val="TableText"/>
              <w:rPr>
                <w:bCs/>
              </w:rPr>
            </w:pPr>
            <w:r>
              <w:rPr>
                <w:bCs/>
              </w:rPr>
              <w:t>Requirement to i</w:t>
            </w:r>
            <w:r w:rsidR="00AE7D4B">
              <w:rPr>
                <w:bCs/>
              </w:rPr>
              <w:t>nclu</w:t>
            </w:r>
            <w:r>
              <w:rPr>
                <w:bCs/>
              </w:rPr>
              <w:t>de</w:t>
            </w:r>
            <w:r w:rsidR="00AE7D4B">
              <w:rPr>
                <w:bCs/>
              </w:rPr>
              <w:t xml:space="preserve"> name</w:t>
            </w:r>
            <w:r>
              <w:rPr>
                <w:bCs/>
              </w:rPr>
              <w:t>s of</w:t>
            </w:r>
            <w:r w:rsidR="00AE7D4B">
              <w:rPr>
                <w:bCs/>
              </w:rPr>
              <w:t xml:space="preserve"> third-Party Processors </w:t>
            </w:r>
            <w:r>
              <w:rPr>
                <w:bCs/>
              </w:rPr>
              <w:t>in Schedule 1</w:t>
            </w:r>
            <w:r w:rsidR="00FA490C">
              <w:rPr>
                <w:bCs/>
              </w:rPr>
              <w:br/>
            </w:r>
            <w:r w:rsidR="00FA490C">
              <w:rPr>
                <w:bCs/>
              </w:rPr>
              <w:br/>
              <w:t>Changes to Schedule 1 to include:</w:t>
            </w:r>
            <w:r w:rsidR="00FA490C">
              <w:rPr>
                <w:bCs/>
              </w:rPr>
              <w:br/>
              <w:t>Explicit transparency obligations</w:t>
            </w:r>
          </w:p>
          <w:p w14:paraId="6510BEF7" w14:textId="77777777" w:rsidR="002C6170" w:rsidRDefault="002C6170" w:rsidP="00AB450C">
            <w:pPr>
              <w:pStyle w:val="TableText"/>
              <w:rPr>
                <w:bCs/>
              </w:rPr>
            </w:pPr>
            <w:r>
              <w:rPr>
                <w:bCs/>
              </w:rPr>
              <w:t>Addition of commencement date and end date</w:t>
            </w:r>
          </w:p>
          <w:p w14:paraId="39B8CF86" w14:textId="5E728A9D" w:rsidR="00AE7D4B" w:rsidRPr="0040678E" w:rsidRDefault="002C6170" w:rsidP="00AB450C">
            <w:pPr>
              <w:pStyle w:val="TableText"/>
              <w:rPr>
                <w:bCs/>
              </w:rPr>
            </w:pPr>
            <w:r>
              <w:rPr>
                <w:bCs/>
              </w:rPr>
              <w:t xml:space="preserve">Addition of compliance with </w:t>
            </w:r>
            <w:r w:rsidR="00F43EB0">
              <w:rPr>
                <w:bCs/>
              </w:rPr>
              <w:t>C</w:t>
            </w:r>
            <w:r>
              <w:rPr>
                <w:bCs/>
              </w:rPr>
              <w:t xml:space="preserve">ommon </w:t>
            </w:r>
            <w:r w:rsidR="00F43EB0">
              <w:rPr>
                <w:bCs/>
              </w:rPr>
              <w:t>L</w:t>
            </w:r>
            <w:r>
              <w:rPr>
                <w:bCs/>
              </w:rPr>
              <w:t xml:space="preserve">aw </w:t>
            </w:r>
            <w:r w:rsidR="00F43EB0">
              <w:rPr>
                <w:bCs/>
              </w:rPr>
              <w:t>D</w:t>
            </w:r>
            <w:r>
              <w:rPr>
                <w:bCs/>
              </w:rPr>
              <w:t xml:space="preserve">uty of </w:t>
            </w:r>
            <w:r w:rsidR="00F43EB0">
              <w:rPr>
                <w:bCs/>
              </w:rPr>
              <w:t>C</w:t>
            </w:r>
            <w:r>
              <w:rPr>
                <w:bCs/>
              </w:rPr>
              <w:t>onfidentiality and Human Rights Act</w:t>
            </w:r>
            <w:r w:rsidR="005D215F">
              <w:rPr>
                <w:bCs/>
              </w:rPr>
              <w:br/>
              <w:t xml:space="preserve">Updates to Clause 7 to reflect obligations on all Parties rather than Data Receiver </w:t>
            </w:r>
            <w:r w:rsidR="005D215F">
              <w:rPr>
                <w:bCs/>
              </w:rPr>
              <w:br/>
              <w:t>Addition of rectification of inaccurate data responsibilities</w:t>
            </w:r>
            <w:r w:rsidR="005D215F">
              <w:rPr>
                <w:bCs/>
              </w:rPr>
              <w:br/>
            </w:r>
            <w:r w:rsidR="00000AAB">
              <w:rPr>
                <w:bCs/>
              </w:rPr>
              <w:t xml:space="preserve">Update to Section 10 to require additional documentation </w:t>
            </w:r>
            <w:r w:rsidR="00AE7D4B">
              <w:rPr>
                <w:bCs/>
              </w:rPr>
              <w:br/>
            </w:r>
          </w:p>
        </w:tc>
      </w:tr>
    </w:tbl>
    <w:p w14:paraId="04B76189" w14:textId="67FCD6EF" w:rsidR="00191634" w:rsidRDefault="00191634" w:rsidP="008A0528"/>
    <w:p w14:paraId="69CE8728" w14:textId="77777777" w:rsidR="00191634" w:rsidRDefault="00191634">
      <w:pPr>
        <w:spacing w:after="200" w:line="276" w:lineRule="auto"/>
        <w:jc w:val="left"/>
      </w:pPr>
      <w:r>
        <w:br w:type="page"/>
      </w:r>
    </w:p>
    <w:p w14:paraId="265A793E" w14:textId="77777777" w:rsidR="005260B9" w:rsidRPr="00191634" w:rsidRDefault="005260B9" w:rsidP="005260B9">
      <w:pPr>
        <w:pStyle w:val="Heading1"/>
        <w:numPr>
          <w:ilvl w:val="0"/>
          <w:numId w:val="16"/>
        </w:numPr>
      </w:pPr>
      <w:r w:rsidRPr="00191634">
        <w:lastRenderedPageBreak/>
        <w:t>SCHEDULE 1 - GLOUCESTERSHIRE SPECIFIC INFORMATION SHARING AGREEMENT</w:t>
      </w:r>
    </w:p>
    <w:p w14:paraId="77EA0B6C" w14:textId="77777777" w:rsidR="005260B9" w:rsidRPr="00191634" w:rsidRDefault="005260B9" w:rsidP="005260B9">
      <w:pPr>
        <w:pStyle w:val="Heading2"/>
        <w:numPr>
          <w:ilvl w:val="0"/>
          <w:numId w:val="0"/>
        </w:numPr>
        <w:ind w:left="567" w:hanging="567"/>
      </w:pPr>
      <w:r w:rsidRPr="00191634">
        <w:t>Introduction</w:t>
      </w:r>
    </w:p>
    <w:p w14:paraId="68C52E82" w14:textId="77777777" w:rsidR="005260B9" w:rsidRPr="00191634" w:rsidRDefault="005260B9" w:rsidP="005260B9">
      <w:r w:rsidRPr="00191634">
        <w:t xml:space="preserve">The Specific Information Sharing Agreement (SISA) is used to outline the specific requirements of the data sharing arrangements under the overarching data sharing protocol known as the Gloucestershire Information Sharing Partnership Agreement. </w:t>
      </w:r>
    </w:p>
    <w:p w14:paraId="6F96303A" w14:textId="77777777" w:rsidR="005260B9" w:rsidRPr="00191634" w:rsidRDefault="005260B9" w:rsidP="005260B9">
      <w:r w:rsidRPr="00191634">
        <w:t>This Specific Information Sharing Agreement and the organisations involved will be bound to all requirements, Terms and Conditions of the overarching data sharing protocol for the duration of this agreement.</w:t>
      </w:r>
    </w:p>
    <w:p w14:paraId="6FC51CB3" w14:textId="77777777" w:rsidR="005260B9" w:rsidRPr="00191634" w:rsidRDefault="005260B9" w:rsidP="005260B9">
      <w:r w:rsidRPr="00191634">
        <w:t xml:space="preserve">All parties involved must have registered their commitment to the principles and agreed to the terms and Conditions of the overarching data sharing protocol in writing by completing the Appendix and returning it to DPO@gloucestershire.gov.uk </w:t>
      </w:r>
    </w:p>
    <w:p w14:paraId="77EAF423" w14:textId="77777777" w:rsidR="005260B9" w:rsidRDefault="005260B9" w:rsidP="005260B9"/>
    <w:tbl>
      <w:tblPr>
        <w:tblStyle w:val="PlainTable1"/>
        <w:tblW w:w="0" w:type="auto"/>
        <w:tblLook w:val="04A0" w:firstRow="1" w:lastRow="0" w:firstColumn="1" w:lastColumn="0" w:noHBand="0" w:noVBand="1"/>
      </w:tblPr>
      <w:tblGrid>
        <w:gridCol w:w="4868"/>
        <w:gridCol w:w="4868"/>
      </w:tblGrid>
      <w:tr w:rsidR="005260B9" w14:paraId="6CF63B81" w14:textId="77777777" w:rsidTr="00982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0BA4DF53" w14:textId="77777777" w:rsidR="005260B9" w:rsidRDefault="005260B9" w:rsidP="0098225A">
            <w:r>
              <w:t>Commencement Date:</w:t>
            </w:r>
          </w:p>
        </w:tc>
        <w:tc>
          <w:tcPr>
            <w:tcW w:w="4868" w:type="dxa"/>
          </w:tcPr>
          <w:p w14:paraId="4F182953" w14:textId="77777777" w:rsidR="005260B9" w:rsidRDefault="005260B9" w:rsidP="0098225A">
            <w:pPr>
              <w:cnfStyle w:val="100000000000" w:firstRow="1" w:lastRow="0" w:firstColumn="0" w:lastColumn="0" w:oddVBand="0" w:evenVBand="0" w:oddHBand="0" w:evenHBand="0" w:firstRowFirstColumn="0" w:firstRowLastColumn="0" w:lastRowFirstColumn="0" w:lastRowLastColumn="0"/>
            </w:pPr>
            <w:r>
              <w:t xml:space="preserve">End Date: </w:t>
            </w:r>
          </w:p>
        </w:tc>
      </w:tr>
      <w:tr w:rsidR="005260B9" w14:paraId="15D7C84C" w14:textId="77777777" w:rsidTr="0098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3D55A259" w14:textId="77777777" w:rsidR="005260B9" w:rsidRDefault="005260B9" w:rsidP="0098225A"/>
        </w:tc>
        <w:tc>
          <w:tcPr>
            <w:tcW w:w="4868" w:type="dxa"/>
          </w:tcPr>
          <w:p w14:paraId="19420C1F" w14:textId="77777777" w:rsidR="005260B9" w:rsidRDefault="005260B9" w:rsidP="0098225A">
            <w:pPr>
              <w:cnfStyle w:val="000000100000" w:firstRow="0" w:lastRow="0" w:firstColumn="0" w:lastColumn="0" w:oddVBand="0" w:evenVBand="0" w:oddHBand="1" w:evenHBand="0" w:firstRowFirstColumn="0" w:firstRowLastColumn="0" w:lastRowFirstColumn="0" w:lastRowLastColumn="0"/>
            </w:pPr>
          </w:p>
        </w:tc>
      </w:tr>
    </w:tbl>
    <w:p w14:paraId="122BC695" w14:textId="77777777" w:rsidR="005260B9" w:rsidRPr="00191634" w:rsidRDefault="005260B9" w:rsidP="005260B9"/>
    <w:p w14:paraId="346DF3BC" w14:textId="77777777" w:rsidR="005260B9" w:rsidRPr="00191634" w:rsidRDefault="005260B9" w:rsidP="005260B9">
      <w:pPr>
        <w:pStyle w:val="Heading2"/>
        <w:numPr>
          <w:ilvl w:val="1"/>
          <w:numId w:val="16"/>
        </w:numPr>
      </w:pPr>
      <w:r w:rsidRPr="00191634">
        <w:t>Parties to this Agreement</w:t>
      </w:r>
    </w:p>
    <w:p w14:paraId="792C3036" w14:textId="77777777" w:rsidR="005260B9" w:rsidRPr="00191634" w:rsidRDefault="005260B9" w:rsidP="005260B9">
      <w:r w:rsidRPr="00191634">
        <w:rPr>
          <w:highlight w:val="yellow"/>
        </w:rPr>
        <w:t>{Insert organisation Name}</w:t>
      </w:r>
      <w:r w:rsidRPr="00191634">
        <w:t xml:space="preserve"> whose registered office is at </w:t>
      </w:r>
      <w:r w:rsidRPr="00191634">
        <w:rPr>
          <w:highlight w:val="yellow"/>
        </w:rPr>
        <w:t>{Insert address}</w:t>
      </w:r>
      <w:r w:rsidRPr="00191634">
        <w:t xml:space="preserve"> </w:t>
      </w:r>
    </w:p>
    <w:p w14:paraId="2F427B4F" w14:textId="77777777" w:rsidR="005260B9" w:rsidRPr="00191634" w:rsidRDefault="005260B9" w:rsidP="005260B9">
      <w:r w:rsidRPr="00191634">
        <w:rPr>
          <w:highlight w:val="yellow"/>
        </w:rPr>
        <w:t>{Insert organisation Name}</w:t>
      </w:r>
      <w:r w:rsidRPr="00191634">
        <w:t xml:space="preserve"> whose registered office is at </w:t>
      </w:r>
      <w:r w:rsidRPr="00191634">
        <w:rPr>
          <w:highlight w:val="yellow"/>
        </w:rPr>
        <w:t>{Insert address}</w:t>
      </w:r>
      <w:r w:rsidRPr="00191634">
        <w:t xml:space="preserve"> </w:t>
      </w:r>
    </w:p>
    <w:p w14:paraId="24814A8F" w14:textId="77777777" w:rsidR="005260B9" w:rsidRPr="00191634" w:rsidRDefault="005260B9" w:rsidP="005260B9">
      <w:r w:rsidRPr="00191634">
        <w:rPr>
          <w:highlight w:val="yellow"/>
        </w:rPr>
        <w:t>(add more rows as required)</w:t>
      </w:r>
    </w:p>
    <w:p w14:paraId="0F162705" w14:textId="77777777" w:rsidR="005260B9" w:rsidRPr="00191634" w:rsidRDefault="005260B9" w:rsidP="005260B9">
      <w:r w:rsidRPr="00191634">
        <w:t>(Each one ‘a Party’ or together ‘the Parties’)</w:t>
      </w:r>
    </w:p>
    <w:p w14:paraId="5FE3A0D7" w14:textId="77777777" w:rsidR="005260B9" w:rsidRPr="00191634" w:rsidRDefault="005260B9" w:rsidP="005260B9">
      <w:pPr>
        <w:pStyle w:val="Heading2"/>
        <w:numPr>
          <w:ilvl w:val="1"/>
          <w:numId w:val="16"/>
        </w:numPr>
      </w:pPr>
      <w:r w:rsidRPr="00191634">
        <w:t>Agreed Purpose</w:t>
      </w:r>
    </w:p>
    <w:p w14:paraId="3A9E3086" w14:textId="77777777" w:rsidR="005260B9" w:rsidRPr="00191634" w:rsidRDefault="005260B9" w:rsidP="005260B9">
      <w:pPr>
        <w:pStyle w:val="Clause"/>
        <w:numPr>
          <w:ilvl w:val="2"/>
          <w:numId w:val="16"/>
        </w:numPr>
      </w:pPr>
      <w:r w:rsidRPr="00191634">
        <w:t>This Specific Information Sharing Agreement (SISA) sets out the details for the sharing of Personal Data when one Controller (Data Discloser) discloses Personal Data to another Controller (the Data Receiver). This is used in conjunction with the overarching data sharing protocol (GISPA) that defines the principles and procedures that the Parties shall adhere to and the responsibilities the parties owe to each other.</w:t>
      </w:r>
    </w:p>
    <w:p w14:paraId="61B8450B" w14:textId="77777777" w:rsidR="005260B9" w:rsidRPr="00191634" w:rsidRDefault="005260B9" w:rsidP="005260B9">
      <w:pPr>
        <w:pStyle w:val="Clause"/>
        <w:numPr>
          <w:ilvl w:val="2"/>
          <w:numId w:val="16"/>
        </w:numPr>
      </w:pPr>
      <w:r w:rsidRPr="00191634">
        <w:t xml:space="preserve">The Parties consider this data sharing necessary to fulfil their responsibilities to </w:t>
      </w:r>
      <w:r w:rsidRPr="00191634">
        <w:rPr>
          <w:highlight w:val="yellow"/>
        </w:rPr>
        <w:t>{</w:t>
      </w:r>
      <w:r>
        <w:rPr>
          <w:highlight w:val="yellow"/>
        </w:rPr>
        <w:t>project name/appropriate guidance or legislation</w:t>
      </w:r>
      <w:r w:rsidRPr="00191634">
        <w:rPr>
          <w:highlight w:val="yellow"/>
        </w:rPr>
        <w:t>}</w:t>
      </w:r>
    </w:p>
    <w:p w14:paraId="753D91F5" w14:textId="77777777" w:rsidR="005260B9" w:rsidRPr="00191634" w:rsidRDefault="005260B9" w:rsidP="005260B9">
      <w:pPr>
        <w:pStyle w:val="Clause"/>
        <w:numPr>
          <w:ilvl w:val="2"/>
          <w:numId w:val="16"/>
        </w:numPr>
      </w:pPr>
      <w:r w:rsidRPr="00191634">
        <w:t xml:space="preserve">The Parties agree to only Process Shared Personal Data, as described in clause </w:t>
      </w:r>
      <w:r>
        <w:fldChar w:fldCharType="begin"/>
      </w:r>
      <w:r>
        <w:instrText xml:space="preserve"> REF _Ref123902190 \r \h </w:instrText>
      </w:r>
      <w:r>
        <w:fldChar w:fldCharType="separate"/>
      </w:r>
      <w:r>
        <w:t>3.1</w:t>
      </w:r>
      <w:r>
        <w:fldChar w:fldCharType="end"/>
      </w:r>
      <w:r w:rsidRPr="00191634">
        <w:t xml:space="preserve">, clause </w:t>
      </w:r>
      <w:r>
        <w:fldChar w:fldCharType="begin"/>
      </w:r>
      <w:r>
        <w:instrText xml:space="preserve"> REF _Ref123902205 \r \h </w:instrText>
      </w:r>
      <w:r>
        <w:fldChar w:fldCharType="separate"/>
      </w:r>
      <w:r>
        <w:t>3.2</w:t>
      </w:r>
      <w:r>
        <w:fldChar w:fldCharType="end"/>
      </w:r>
      <w:r w:rsidRPr="00191634">
        <w:t xml:space="preserve"> and the Appendix for the following purposes:</w:t>
      </w:r>
    </w:p>
    <w:p w14:paraId="56155179" w14:textId="77777777" w:rsidR="005260B9" w:rsidRPr="00191634" w:rsidRDefault="005260B9" w:rsidP="005260B9">
      <w:pPr>
        <w:pStyle w:val="Bullets"/>
        <w:numPr>
          <w:ilvl w:val="4"/>
          <w:numId w:val="16"/>
        </w:numPr>
        <w:rPr>
          <w:highlight w:val="yellow"/>
        </w:rPr>
      </w:pPr>
      <w:r w:rsidRPr="00191634">
        <w:rPr>
          <w:highlight w:val="yellow"/>
        </w:rPr>
        <w:t>(Insert purposes</w:t>
      </w:r>
      <w:r>
        <w:rPr>
          <w:highlight w:val="yellow"/>
        </w:rPr>
        <w:t>)</w:t>
      </w:r>
    </w:p>
    <w:p w14:paraId="0AE37756" w14:textId="77777777" w:rsidR="005260B9" w:rsidRPr="00191634" w:rsidRDefault="005260B9" w:rsidP="005260B9">
      <w:pPr>
        <w:pStyle w:val="Clause"/>
        <w:numPr>
          <w:ilvl w:val="2"/>
          <w:numId w:val="16"/>
        </w:numPr>
      </w:pPr>
      <w:r w:rsidRPr="00191634">
        <w:t xml:space="preserve">The Parties shall not Process Shared Personal Data in a way that is incompatible with the purposes described in this clause </w:t>
      </w:r>
      <w:r>
        <w:fldChar w:fldCharType="begin"/>
      </w:r>
      <w:r>
        <w:instrText xml:space="preserve"> REF _Ref123903503 \r \h </w:instrText>
      </w:r>
      <w:r>
        <w:fldChar w:fldCharType="separate"/>
      </w:r>
      <w:r>
        <w:t>2</w:t>
      </w:r>
      <w:r>
        <w:fldChar w:fldCharType="end"/>
      </w:r>
      <w:r w:rsidRPr="00191634">
        <w:t xml:space="preserve"> (</w:t>
      </w:r>
      <w:r w:rsidRPr="00191634">
        <w:rPr>
          <w:b/>
        </w:rPr>
        <w:t>Agreed Purpose</w:t>
      </w:r>
      <w:r w:rsidRPr="00191634">
        <w:t>). Where shared Personal Data has been de-identified or pseudonymised the Parties shall not attempt to re-identify individuals or undo or reverse any pseudonymisation.</w:t>
      </w:r>
    </w:p>
    <w:p w14:paraId="5365D2B1" w14:textId="77777777" w:rsidR="005260B9" w:rsidRPr="00191634" w:rsidRDefault="005260B9" w:rsidP="005260B9">
      <w:pPr>
        <w:pStyle w:val="Clause"/>
        <w:numPr>
          <w:ilvl w:val="2"/>
          <w:numId w:val="16"/>
        </w:numPr>
      </w:pPr>
      <w:r w:rsidRPr="00191634">
        <w:lastRenderedPageBreak/>
        <w:t>It may in some circumstances occur that the Data Receiver transfers its Personal Data to the Data Discloser in which case the terms of this Agreement shall apply as if, in relation to such Personal Data, the Data Receiver were the data discloser, and the Data Discloser were the data receiver.</w:t>
      </w:r>
    </w:p>
    <w:p w14:paraId="0450AFD7" w14:textId="77777777" w:rsidR="005260B9" w:rsidRPr="00191634" w:rsidRDefault="005260B9" w:rsidP="005260B9">
      <w:pPr>
        <w:pStyle w:val="Heading2"/>
        <w:numPr>
          <w:ilvl w:val="1"/>
          <w:numId w:val="16"/>
        </w:numPr>
      </w:pPr>
      <w:r w:rsidRPr="00191634">
        <w:t>Shared Personal Data</w:t>
      </w:r>
    </w:p>
    <w:p w14:paraId="26766EEC" w14:textId="77777777" w:rsidR="005260B9" w:rsidRPr="00191634" w:rsidRDefault="005260B9" w:rsidP="005260B9">
      <w:pPr>
        <w:pStyle w:val="Clause"/>
        <w:numPr>
          <w:ilvl w:val="2"/>
          <w:numId w:val="16"/>
        </w:numPr>
      </w:pPr>
      <w:r w:rsidRPr="00191634">
        <w:t>The following types of Personal Data will be shared between the Parties during the Term of this Agreement:</w:t>
      </w:r>
    </w:p>
    <w:p w14:paraId="288A26D5" w14:textId="77777777" w:rsidR="005260B9" w:rsidRPr="00191634" w:rsidRDefault="005260B9" w:rsidP="005260B9">
      <w:pPr>
        <w:pStyle w:val="Bullets"/>
        <w:numPr>
          <w:ilvl w:val="4"/>
          <w:numId w:val="16"/>
        </w:numPr>
        <w:rPr>
          <w:b/>
          <w:bCs/>
          <w:highlight w:val="yellow"/>
        </w:rPr>
      </w:pPr>
      <w:r w:rsidRPr="00191634">
        <w:rPr>
          <w:b/>
          <w:bCs/>
          <w:highlight w:val="yellow"/>
        </w:rPr>
        <w:t>[Insert personal data]</w:t>
      </w:r>
    </w:p>
    <w:p w14:paraId="57007DB6" w14:textId="77777777" w:rsidR="005260B9" w:rsidRPr="00191634" w:rsidRDefault="005260B9" w:rsidP="005260B9">
      <w:pPr>
        <w:pStyle w:val="Clause"/>
        <w:numPr>
          <w:ilvl w:val="2"/>
          <w:numId w:val="16"/>
        </w:numPr>
      </w:pPr>
      <w:r w:rsidRPr="00191634">
        <w:t>The following types of Special Categories of Personal Data will be shared between the Parties during the Term of this agreement:</w:t>
      </w:r>
    </w:p>
    <w:p w14:paraId="48E3A222" w14:textId="77777777" w:rsidR="005260B9" w:rsidRPr="00191634" w:rsidRDefault="005260B9" w:rsidP="005260B9">
      <w:pPr>
        <w:pStyle w:val="Bullets"/>
        <w:numPr>
          <w:ilvl w:val="4"/>
          <w:numId w:val="16"/>
        </w:numPr>
        <w:rPr>
          <w:b/>
          <w:bCs/>
          <w:highlight w:val="yellow"/>
        </w:rPr>
      </w:pPr>
      <w:r w:rsidRPr="00191634">
        <w:rPr>
          <w:b/>
          <w:bCs/>
          <w:highlight w:val="yellow"/>
        </w:rPr>
        <w:t>[Insert special category data]</w:t>
      </w:r>
    </w:p>
    <w:p w14:paraId="5FCFC538" w14:textId="77777777" w:rsidR="005260B9" w:rsidRPr="00191634" w:rsidRDefault="005260B9" w:rsidP="005260B9">
      <w:pPr>
        <w:pStyle w:val="Clause"/>
        <w:numPr>
          <w:ilvl w:val="2"/>
          <w:numId w:val="16"/>
        </w:numPr>
      </w:pPr>
      <w:r w:rsidRPr="00191634">
        <w:t xml:space="preserve">Further detail on the Shared Personal Data as described in clause </w:t>
      </w:r>
      <w:r>
        <w:fldChar w:fldCharType="begin"/>
      </w:r>
      <w:r>
        <w:instrText xml:space="preserve"> REF _Ref123901591 \r \h </w:instrText>
      </w:r>
      <w:r>
        <w:fldChar w:fldCharType="separate"/>
      </w:r>
      <w:r>
        <w:t>3.1</w:t>
      </w:r>
      <w:r>
        <w:fldChar w:fldCharType="end"/>
      </w:r>
      <w:r w:rsidRPr="00191634">
        <w:t xml:space="preserve">, and clause </w:t>
      </w:r>
      <w:r>
        <w:fldChar w:fldCharType="begin"/>
      </w:r>
      <w:r>
        <w:instrText xml:space="preserve"> REF _Ref123901599 \r \h </w:instrText>
      </w:r>
      <w:r>
        <w:fldChar w:fldCharType="separate"/>
      </w:r>
      <w:r>
        <w:t>3.2</w:t>
      </w:r>
      <w:r>
        <w:fldChar w:fldCharType="end"/>
      </w:r>
      <w:r w:rsidRPr="00191634">
        <w:t xml:space="preserve"> is set out in the Appendix together with any access and processing restrictions as agreed and established by the Parties.</w:t>
      </w:r>
    </w:p>
    <w:p w14:paraId="40CDF180" w14:textId="77777777" w:rsidR="005260B9" w:rsidRPr="00191634" w:rsidRDefault="005260B9" w:rsidP="005260B9">
      <w:pPr>
        <w:pStyle w:val="Clause"/>
        <w:numPr>
          <w:ilvl w:val="2"/>
          <w:numId w:val="16"/>
        </w:numPr>
      </w:pPr>
      <w:r w:rsidRPr="00191634">
        <w:t>The Shared Personal Data must not be irrelevant or excessive with regard to the Agreed Purposes.</w:t>
      </w:r>
    </w:p>
    <w:p w14:paraId="37B69484" w14:textId="77777777" w:rsidR="005260B9" w:rsidRPr="00191634" w:rsidRDefault="005260B9" w:rsidP="005260B9">
      <w:pPr>
        <w:pStyle w:val="Heading2"/>
        <w:numPr>
          <w:ilvl w:val="1"/>
          <w:numId w:val="16"/>
        </w:numPr>
      </w:pPr>
      <w:r w:rsidRPr="00191634">
        <w:t>Lawfulness</w:t>
      </w:r>
      <w:r>
        <w:t xml:space="preserve"> and Transparency</w:t>
      </w:r>
      <w:r w:rsidRPr="00191634">
        <w:t xml:space="preserve"> of Processing</w:t>
      </w:r>
    </w:p>
    <w:p w14:paraId="726C5DB2" w14:textId="77777777" w:rsidR="005260B9" w:rsidRPr="00191634" w:rsidRDefault="005260B9" w:rsidP="005260B9">
      <w:pPr>
        <w:pStyle w:val="Clause"/>
        <w:numPr>
          <w:ilvl w:val="2"/>
          <w:numId w:val="16"/>
        </w:numPr>
      </w:pPr>
      <w:r w:rsidRPr="00191634">
        <w:t>Each Party shall ensure that it processes the Shared Personal Data fairly, transparently, and lawfully during the Term of this Agreement</w:t>
      </w:r>
    </w:p>
    <w:p w14:paraId="42537C63" w14:textId="77777777" w:rsidR="005260B9" w:rsidRPr="00191634" w:rsidRDefault="005260B9" w:rsidP="005260B9">
      <w:pPr>
        <w:pStyle w:val="Clause"/>
        <w:numPr>
          <w:ilvl w:val="2"/>
          <w:numId w:val="16"/>
        </w:numPr>
      </w:pPr>
      <w:r w:rsidRPr="00191634">
        <w:t>Each Party agrees that the legitimate grounds under the Data Protection Legislation for the processing of Shared Personal Data are:</w:t>
      </w:r>
    </w:p>
    <w:p w14:paraId="17D7AC39" w14:textId="77777777" w:rsidR="005260B9" w:rsidRPr="00191634" w:rsidRDefault="005260B9" w:rsidP="005260B9">
      <w:pPr>
        <w:pStyle w:val="Sub-clause"/>
        <w:numPr>
          <w:ilvl w:val="3"/>
          <w:numId w:val="16"/>
        </w:numPr>
      </w:pPr>
      <w:r w:rsidRPr="00191634">
        <w:t xml:space="preserve">Article 6 – Processing of Personal Data </w:t>
      </w:r>
      <w:r w:rsidRPr="00191634">
        <w:rPr>
          <w:b/>
          <w:highlight w:val="yellow"/>
        </w:rPr>
        <w:t>[Delete as appropriate]</w:t>
      </w:r>
    </w:p>
    <w:p w14:paraId="47F6BA68" w14:textId="77777777" w:rsidR="005260B9" w:rsidRPr="00191634" w:rsidRDefault="005260B9" w:rsidP="005260B9">
      <w:pPr>
        <w:pStyle w:val="Bullets"/>
        <w:numPr>
          <w:ilvl w:val="4"/>
          <w:numId w:val="16"/>
        </w:numPr>
      </w:pPr>
      <w:r w:rsidRPr="00191634">
        <w:t>the Data Subject has given consent to the processing of their Personal Data</w:t>
      </w:r>
    </w:p>
    <w:p w14:paraId="5F5A0E5B" w14:textId="77777777" w:rsidR="005260B9" w:rsidRPr="00191634" w:rsidRDefault="005260B9" w:rsidP="005260B9">
      <w:pPr>
        <w:pStyle w:val="Bullets"/>
        <w:numPr>
          <w:ilvl w:val="4"/>
          <w:numId w:val="16"/>
        </w:numPr>
      </w:pPr>
      <w:r w:rsidRPr="00191634">
        <w:t>processing is necessary for the performance of a contract to which the Data Subject is party or in order to take steps at the request of the Data Subject prior to entering into a contract;</w:t>
      </w:r>
    </w:p>
    <w:p w14:paraId="1CE5AC73" w14:textId="77777777" w:rsidR="005260B9" w:rsidRPr="00191634" w:rsidRDefault="005260B9" w:rsidP="005260B9">
      <w:pPr>
        <w:pStyle w:val="Bullets"/>
        <w:numPr>
          <w:ilvl w:val="4"/>
          <w:numId w:val="16"/>
        </w:numPr>
      </w:pPr>
      <w:r w:rsidRPr="00191634">
        <w:t>processing is necessary for compliance with a legal obligation to which the Controller is subject;</w:t>
      </w:r>
    </w:p>
    <w:p w14:paraId="32158721" w14:textId="77777777" w:rsidR="005260B9" w:rsidRPr="00191634" w:rsidRDefault="005260B9" w:rsidP="005260B9">
      <w:pPr>
        <w:pStyle w:val="Bullets"/>
        <w:numPr>
          <w:ilvl w:val="4"/>
          <w:numId w:val="16"/>
        </w:numPr>
      </w:pPr>
      <w:r w:rsidRPr="00191634">
        <w:t>processing is necessary in order to protect the vital interests of the Data Subject or of another natural person;</w:t>
      </w:r>
    </w:p>
    <w:p w14:paraId="7EEDBE2C" w14:textId="77777777" w:rsidR="005260B9" w:rsidRPr="00191634" w:rsidRDefault="005260B9" w:rsidP="005260B9">
      <w:pPr>
        <w:pStyle w:val="Bullets"/>
        <w:numPr>
          <w:ilvl w:val="4"/>
          <w:numId w:val="16"/>
        </w:numPr>
      </w:pPr>
      <w:r w:rsidRPr="00191634">
        <w:t>processing is necessary for the performance of a task carried out in the public interest or in the exercise of official authority vested in the Controller</w:t>
      </w:r>
    </w:p>
    <w:p w14:paraId="01A59F3D" w14:textId="77777777" w:rsidR="005260B9" w:rsidRPr="00191634" w:rsidRDefault="005260B9" w:rsidP="005260B9">
      <w:pPr>
        <w:pStyle w:val="Bullets"/>
        <w:numPr>
          <w:ilvl w:val="4"/>
          <w:numId w:val="16"/>
        </w:numPr>
      </w:pPr>
      <w:r w:rsidRPr="00191634">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49DAA760" w14:textId="77777777" w:rsidR="005260B9" w:rsidRPr="00191634" w:rsidRDefault="005260B9" w:rsidP="005260B9">
      <w:pPr>
        <w:pStyle w:val="Sub-clause"/>
        <w:numPr>
          <w:ilvl w:val="3"/>
          <w:numId w:val="16"/>
        </w:numPr>
      </w:pPr>
      <w:r w:rsidRPr="00191634">
        <w:t xml:space="preserve">Article 9 – Processing of Special Category Data </w:t>
      </w:r>
      <w:r w:rsidRPr="00191634">
        <w:rPr>
          <w:b/>
          <w:highlight w:val="yellow"/>
        </w:rPr>
        <w:t>[Delete as appropriate]</w:t>
      </w:r>
    </w:p>
    <w:p w14:paraId="6453DAE7" w14:textId="77777777" w:rsidR="005260B9" w:rsidRPr="00191634" w:rsidRDefault="005260B9" w:rsidP="005260B9">
      <w:pPr>
        <w:pStyle w:val="Bullets"/>
        <w:numPr>
          <w:ilvl w:val="4"/>
          <w:numId w:val="16"/>
        </w:numPr>
      </w:pPr>
      <w:r w:rsidRPr="00191634">
        <w:t xml:space="preserve">the Data Subject has given explicit consent </w:t>
      </w:r>
    </w:p>
    <w:p w14:paraId="0001AABC" w14:textId="77777777" w:rsidR="005260B9" w:rsidRPr="00191634" w:rsidRDefault="005260B9" w:rsidP="005260B9">
      <w:pPr>
        <w:pStyle w:val="Bullets"/>
        <w:numPr>
          <w:ilvl w:val="4"/>
          <w:numId w:val="16"/>
        </w:numPr>
      </w:pPr>
      <w:r>
        <w:lastRenderedPageBreak/>
        <w:t>p</w:t>
      </w:r>
      <w:r w:rsidRPr="00191634">
        <w:t xml:space="preserve">rocessing is necessary for the purposes of carrying out the obligations and exercising specific rights of the Controller or of the Data Subject in the field of employment and social security and social protection law in so far as it is authorised by UK law </w:t>
      </w:r>
    </w:p>
    <w:p w14:paraId="5AFFA777" w14:textId="77777777" w:rsidR="005260B9" w:rsidRPr="00191634" w:rsidRDefault="005260B9" w:rsidP="005260B9">
      <w:pPr>
        <w:pStyle w:val="Bullets"/>
        <w:numPr>
          <w:ilvl w:val="4"/>
          <w:numId w:val="16"/>
        </w:numPr>
      </w:pPr>
      <w:r>
        <w:t>p</w:t>
      </w:r>
      <w:r w:rsidRPr="00191634">
        <w:t>rocessing is necessary to protect the vital interests of the Data Subject or of another natural person where the Data Subject is physically or legally incapable of giving consent;</w:t>
      </w:r>
    </w:p>
    <w:p w14:paraId="1CC870C7" w14:textId="77777777" w:rsidR="005260B9" w:rsidRPr="00191634" w:rsidRDefault="005260B9" w:rsidP="005260B9">
      <w:pPr>
        <w:pStyle w:val="Bullets"/>
        <w:numPr>
          <w:ilvl w:val="4"/>
          <w:numId w:val="16"/>
        </w:numPr>
      </w:pPr>
      <w:r>
        <w:t>p</w:t>
      </w:r>
      <w:r w:rsidRPr="00191634">
        <w:t>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p w14:paraId="509B3CE3" w14:textId="77777777" w:rsidR="005260B9" w:rsidRPr="00191634" w:rsidRDefault="005260B9" w:rsidP="005260B9">
      <w:pPr>
        <w:pStyle w:val="Bullets"/>
        <w:numPr>
          <w:ilvl w:val="4"/>
          <w:numId w:val="16"/>
        </w:numPr>
      </w:pPr>
      <w:r>
        <w:t>p</w:t>
      </w:r>
      <w:r w:rsidRPr="00191634">
        <w:t>rocessing relates to Personal Data which are manifestly made public by the Data Subject;</w:t>
      </w:r>
    </w:p>
    <w:p w14:paraId="6E7BABF3" w14:textId="77777777" w:rsidR="005260B9" w:rsidRPr="00191634" w:rsidRDefault="005260B9" w:rsidP="005260B9">
      <w:pPr>
        <w:pStyle w:val="Bullets"/>
        <w:numPr>
          <w:ilvl w:val="4"/>
          <w:numId w:val="16"/>
        </w:numPr>
      </w:pPr>
      <w:r>
        <w:t>p</w:t>
      </w:r>
      <w:r w:rsidRPr="00191634">
        <w:t>rocessing is necessary for the establishment, exercise or defence of legal claims or whenever courts are acting in their judicial capacity;</w:t>
      </w:r>
    </w:p>
    <w:p w14:paraId="1980812A" w14:textId="77777777" w:rsidR="005260B9" w:rsidRPr="00191634" w:rsidRDefault="005260B9" w:rsidP="005260B9">
      <w:pPr>
        <w:pStyle w:val="Bullets"/>
        <w:numPr>
          <w:ilvl w:val="4"/>
          <w:numId w:val="16"/>
        </w:numPr>
      </w:pPr>
      <w:r w:rsidRPr="00191634">
        <w:t>Processing is necessary for reasons of substantial public interest</w:t>
      </w:r>
    </w:p>
    <w:p w14:paraId="71E7F3B5" w14:textId="77777777" w:rsidR="005260B9" w:rsidRPr="00191634" w:rsidRDefault="005260B9" w:rsidP="005260B9">
      <w:pPr>
        <w:pStyle w:val="Bullets"/>
        <w:numPr>
          <w:ilvl w:val="4"/>
          <w:numId w:val="16"/>
        </w:numPr>
      </w:pPr>
      <w:r>
        <w:t>p</w:t>
      </w:r>
      <w:r w:rsidRPr="00191634">
        <w:t xml:space="preserve">rocessing is necessary for the purposes of preventive or occupational medicine, for the assessment of the working capacity of the employee, medical diagnosis, the provision of health or social care or treatment or the management of health or social care systems and services </w:t>
      </w:r>
    </w:p>
    <w:p w14:paraId="6A7D6395" w14:textId="77777777" w:rsidR="005260B9" w:rsidRPr="00191634" w:rsidRDefault="005260B9" w:rsidP="005260B9">
      <w:pPr>
        <w:pStyle w:val="Bullets"/>
        <w:numPr>
          <w:ilvl w:val="4"/>
          <w:numId w:val="16"/>
        </w:numPr>
      </w:pPr>
      <w:r>
        <w:t>p</w:t>
      </w:r>
      <w:r w:rsidRPr="00191634">
        <w:t xml:space="preserve">rocessing is necessary for reasons of public interest in the area of public health, such as protecting against serious cross-border threats to health or ensuring high standards of quality and safety of health care and of medicinal products or medical devices, </w:t>
      </w:r>
    </w:p>
    <w:p w14:paraId="67623CA5" w14:textId="77777777" w:rsidR="005260B9" w:rsidRPr="00191634" w:rsidRDefault="005260B9" w:rsidP="005260B9">
      <w:pPr>
        <w:pStyle w:val="Bullets"/>
        <w:numPr>
          <w:ilvl w:val="4"/>
          <w:numId w:val="16"/>
        </w:numPr>
      </w:pPr>
      <w:r>
        <w:t>p</w:t>
      </w:r>
      <w:r w:rsidRPr="00191634">
        <w:t xml:space="preserve">rocessing is necessary for archiving purposes in the public interest, scientific or historical research purposes or statistical purposes in accordance with </w:t>
      </w:r>
      <w:hyperlink r:id="rId12" w:history="1">
        <w:r w:rsidRPr="00191634">
          <w:rPr>
            <w:rStyle w:val="Hyperlink"/>
          </w:rPr>
          <w:t>Article 89</w:t>
        </w:r>
      </w:hyperlink>
      <w:r w:rsidRPr="00191634">
        <w:t xml:space="preserve">(1) </w:t>
      </w:r>
    </w:p>
    <w:p w14:paraId="3EBD66E6" w14:textId="77777777" w:rsidR="005260B9" w:rsidRPr="00191634" w:rsidRDefault="005260B9" w:rsidP="005260B9">
      <w:pPr>
        <w:pStyle w:val="Sub-clause"/>
        <w:numPr>
          <w:ilvl w:val="3"/>
          <w:numId w:val="16"/>
        </w:numPr>
      </w:pPr>
      <w:r w:rsidRPr="00191634">
        <w:t>Article 10 Processing of Pers</w:t>
      </w:r>
      <w:r w:rsidRPr="00355613">
        <w:t xml:space="preserve">onal Data relating to criminal convictions and offences </w:t>
      </w:r>
      <w:r w:rsidRPr="00355613">
        <w:rPr>
          <w:b/>
          <w:highlight w:val="yellow"/>
        </w:rPr>
        <w:t>[</w:t>
      </w:r>
      <w:r>
        <w:rPr>
          <w:b/>
          <w:highlight w:val="yellow"/>
        </w:rPr>
        <w:t xml:space="preserve">If no Criminal Conviction Data - delete </w:t>
      </w:r>
      <w:r w:rsidRPr="00355613">
        <w:rPr>
          <w:b/>
          <w:highlight w:val="yellow"/>
        </w:rPr>
        <w:t>as appropriate]</w:t>
      </w:r>
      <w:r>
        <w:rPr>
          <w:b/>
        </w:rPr>
        <w:t xml:space="preserve"> </w:t>
      </w:r>
    </w:p>
    <w:p w14:paraId="0321610C" w14:textId="77777777" w:rsidR="005260B9" w:rsidRPr="00191634" w:rsidRDefault="005260B9" w:rsidP="005260B9">
      <w:pPr>
        <w:pStyle w:val="Bullets"/>
        <w:numPr>
          <w:ilvl w:val="4"/>
          <w:numId w:val="16"/>
        </w:numPr>
      </w:pPr>
      <w:r w:rsidRPr="00191634">
        <w:t xml:space="preserve">processing shall be carried out under the control of Official Authority or when the processing is authorised by UK law and the appropriate safeguards are in place. (See Schedule 1 DPA) </w:t>
      </w:r>
    </w:p>
    <w:p w14:paraId="3294B485" w14:textId="77777777" w:rsidR="005260B9" w:rsidRPr="00191634" w:rsidRDefault="005260B9" w:rsidP="005260B9">
      <w:pPr>
        <w:pStyle w:val="Sub-clause"/>
        <w:numPr>
          <w:ilvl w:val="3"/>
          <w:numId w:val="16"/>
        </w:numPr>
      </w:pPr>
      <w:r w:rsidRPr="00191634">
        <w:t xml:space="preserve">Data Protection Act 2018 - Schedule 1 DPA conditions </w:t>
      </w:r>
      <w:r w:rsidRPr="00355613">
        <w:rPr>
          <w:b/>
          <w:bCs/>
          <w:highlight w:val="yellow"/>
        </w:rPr>
        <w:t>[Please note: if you are processing Special Category Information or criminal convictions or offence personal data you will need to identify the appropriate condition in Schedule 1 DPA 18 that allows you to do this. Please include all relevant conditions here]</w:t>
      </w:r>
    </w:p>
    <w:p w14:paraId="0DDE1DC6" w14:textId="77777777" w:rsidR="005260B9" w:rsidRPr="00355613" w:rsidRDefault="005260B9" w:rsidP="005260B9">
      <w:pPr>
        <w:pStyle w:val="Bullets"/>
        <w:numPr>
          <w:ilvl w:val="4"/>
          <w:numId w:val="16"/>
        </w:numPr>
        <w:rPr>
          <w:highlight w:val="yellow"/>
        </w:rPr>
      </w:pPr>
      <w:r w:rsidRPr="00355613">
        <w:rPr>
          <w:highlight w:val="yellow"/>
        </w:rPr>
        <w:t xml:space="preserve">[Enter </w:t>
      </w:r>
      <w:r>
        <w:rPr>
          <w:highlight w:val="yellow"/>
        </w:rPr>
        <w:t>c</w:t>
      </w:r>
      <w:r w:rsidRPr="00355613">
        <w:rPr>
          <w:highlight w:val="yellow"/>
        </w:rPr>
        <w:t>onditions here]</w:t>
      </w:r>
    </w:p>
    <w:p w14:paraId="1D28FC0A" w14:textId="77777777" w:rsidR="005260B9" w:rsidRPr="00191634" w:rsidRDefault="005260B9" w:rsidP="005260B9">
      <w:pPr>
        <w:pStyle w:val="Sub-clause"/>
        <w:numPr>
          <w:ilvl w:val="3"/>
          <w:numId w:val="16"/>
        </w:numPr>
      </w:pPr>
      <w:r w:rsidRPr="00191634">
        <w:t xml:space="preserve">Data protection Act 2018, Exemptions from the UK GDPR - Schedule 2,3,4 </w:t>
      </w:r>
      <w:r w:rsidRPr="00355613">
        <w:rPr>
          <w:b/>
          <w:bCs/>
          <w:highlight w:val="yellow"/>
        </w:rPr>
        <w:t xml:space="preserve">[Please note: if you wish to apply exemptions to the processing under the Data </w:t>
      </w:r>
      <w:r w:rsidRPr="00355613">
        <w:rPr>
          <w:b/>
          <w:bCs/>
          <w:highlight w:val="yellow"/>
        </w:rPr>
        <w:lastRenderedPageBreak/>
        <w:t>Protection Act 2018. Please include all relevant details here otherwise please delete this section</w:t>
      </w:r>
      <w:r>
        <w:rPr>
          <w:b/>
          <w:bCs/>
          <w:highlight w:val="yellow"/>
        </w:rPr>
        <w:t xml:space="preserve"> – Delete as appropriate</w:t>
      </w:r>
      <w:r w:rsidRPr="00355613">
        <w:rPr>
          <w:b/>
          <w:bCs/>
          <w:highlight w:val="yellow"/>
        </w:rPr>
        <w:t>]</w:t>
      </w:r>
    </w:p>
    <w:p w14:paraId="4859CD92" w14:textId="77777777" w:rsidR="005260B9" w:rsidRPr="00355613" w:rsidRDefault="005260B9" w:rsidP="005260B9">
      <w:pPr>
        <w:pStyle w:val="Bullets"/>
        <w:numPr>
          <w:ilvl w:val="4"/>
          <w:numId w:val="16"/>
        </w:numPr>
        <w:rPr>
          <w:highlight w:val="yellow"/>
        </w:rPr>
      </w:pPr>
      <w:r w:rsidRPr="00355613">
        <w:rPr>
          <w:highlight w:val="yellow"/>
        </w:rPr>
        <w:t xml:space="preserve">[Enter </w:t>
      </w:r>
      <w:r>
        <w:rPr>
          <w:highlight w:val="yellow"/>
        </w:rPr>
        <w:t>e</w:t>
      </w:r>
      <w:r w:rsidRPr="00355613">
        <w:rPr>
          <w:highlight w:val="yellow"/>
        </w:rPr>
        <w:t>xemptions here]</w:t>
      </w:r>
    </w:p>
    <w:p w14:paraId="38302DE2" w14:textId="77777777" w:rsidR="005260B9" w:rsidRPr="00191634" w:rsidRDefault="005260B9" w:rsidP="005260B9">
      <w:pPr>
        <w:pStyle w:val="Sub-clause"/>
        <w:numPr>
          <w:ilvl w:val="3"/>
          <w:numId w:val="16"/>
        </w:numPr>
      </w:pPr>
      <w:r w:rsidRPr="00191634">
        <w:t xml:space="preserve">The NHS National Data Opt-Out </w:t>
      </w:r>
      <w:r w:rsidRPr="00355613">
        <w:rPr>
          <w:highlight w:val="yellow"/>
        </w:rPr>
        <w:t>does / does not</w:t>
      </w:r>
      <w:r w:rsidRPr="00191634">
        <w:t xml:space="preserve"> apply to the agreed sharing of data </w:t>
      </w:r>
      <w:r w:rsidRPr="00355613">
        <w:rPr>
          <w:b/>
          <w:highlight w:val="yellow"/>
        </w:rPr>
        <w:t>[Delete as appropriate]</w:t>
      </w:r>
    </w:p>
    <w:p w14:paraId="2B5D1AC2" w14:textId="77777777" w:rsidR="005260B9" w:rsidRPr="00191634" w:rsidRDefault="005260B9" w:rsidP="005260B9">
      <w:pPr>
        <w:pStyle w:val="Sub-clause"/>
        <w:numPr>
          <w:ilvl w:val="3"/>
          <w:numId w:val="16"/>
        </w:numPr>
      </w:pPr>
      <w:r w:rsidRPr="00191634">
        <w:t xml:space="preserve">Law Enforcement Processing - Part 3 DPA 2018 </w:t>
      </w:r>
      <w:r w:rsidRPr="00E90CE9">
        <w:rPr>
          <w:b/>
          <w:bCs/>
          <w:highlight w:val="yellow"/>
        </w:rPr>
        <w:t>[Delete as appropriate]</w:t>
      </w:r>
    </w:p>
    <w:p w14:paraId="2DD84E48" w14:textId="77777777" w:rsidR="005260B9" w:rsidRDefault="005260B9" w:rsidP="005260B9">
      <w:pPr>
        <w:pStyle w:val="Bullets"/>
        <w:numPr>
          <w:ilvl w:val="4"/>
          <w:numId w:val="16"/>
        </w:numPr>
        <w:rPr>
          <w:highlight w:val="yellow"/>
        </w:rPr>
      </w:pPr>
      <w:r w:rsidRPr="00355613">
        <w:rPr>
          <w:highlight w:val="yellow"/>
        </w:rPr>
        <w:t xml:space="preserve">[Please state which party to the agreement is a Competent Authority under Part 3 DPA 2018 and is processing the Shared Personal Data under Part 3.] </w:t>
      </w:r>
    </w:p>
    <w:p w14:paraId="5E3FF6C6" w14:textId="77777777" w:rsidR="005260B9" w:rsidRDefault="005260B9" w:rsidP="005260B9">
      <w:pPr>
        <w:pStyle w:val="Sub-clause"/>
        <w:numPr>
          <w:ilvl w:val="3"/>
          <w:numId w:val="16"/>
        </w:numPr>
        <w:rPr>
          <w:highlight w:val="yellow"/>
        </w:rPr>
      </w:pPr>
      <w:r w:rsidRPr="00E90CE9">
        <w:t xml:space="preserve">Compliance with Common Law Duty of Confidentiality </w:t>
      </w:r>
      <w:r w:rsidRPr="00E90CE9">
        <w:rPr>
          <w:b/>
          <w:bCs/>
          <w:highlight w:val="yellow"/>
        </w:rPr>
        <w:t>[Delete as appropriate]</w:t>
      </w:r>
    </w:p>
    <w:p w14:paraId="56EAE2DE" w14:textId="77777777" w:rsidR="005260B9" w:rsidRDefault="005260B9" w:rsidP="005260B9">
      <w:pPr>
        <w:pStyle w:val="Bullets"/>
        <w:numPr>
          <w:ilvl w:val="4"/>
          <w:numId w:val="16"/>
        </w:numPr>
        <w:rPr>
          <w:highlight w:val="yellow"/>
        </w:rPr>
      </w:pPr>
      <w:r>
        <w:rPr>
          <w:highlight w:val="yellow"/>
        </w:rPr>
        <w:t>Consent [please also explain if this is implied or explicit]</w:t>
      </w:r>
    </w:p>
    <w:p w14:paraId="0C0E4FCB" w14:textId="77777777" w:rsidR="005260B9" w:rsidRDefault="005260B9" w:rsidP="005260B9">
      <w:pPr>
        <w:pStyle w:val="Bullets"/>
        <w:numPr>
          <w:ilvl w:val="4"/>
          <w:numId w:val="16"/>
        </w:numPr>
        <w:rPr>
          <w:highlight w:val="yellow"/>
        </w:rPr>
      </w:pPr>
      <w:r>
        <w:rPr>
          <w:highlight w:val="yellow"/>
        </w:rPr>
        <w:t>Statutory Gateway [please explain which Statutory Gateway is being used and how this sets aside the Common Law Duty of Confidentiality]</w:t>
      </w:r>
    </w:p>
    <w:p w14:paraId="1C17DCDD" w14:textId="516AED0B" w:rsidR="005260B9" w:rsidRDefault="005260B9" w:rsidP="005260B9">
      <w:pPr>
        <w:pStyle w:val="Sub-clause"/>
        <w:numPr>
          <w:ilvl w:val="3"/>
          <w:numId w:val="16"/>
        </w:numPr>
        <w:rPr>
          <w:highlight w:val="yellow"/>
        </w:rPr>
      </w:pPr>
      <w:r>
        <w:rPr>
          <w:highlight w:val="yellow"/>
        </w:rPr>
        <w:t xml:space="preserve">Human Rights Act </w:t>
      </w:r>
      <w:r w:rsidR="00297625">
        <w:rPr>
          <w:highlight w:val="yellow"/>
        </w:rPr>
        <w:t xml:space="preserve">- </w:t>
      </w:r>
      <w:r>
        <w:rPr>
          <w:highlight w:val="yellow"/>
        </w:rPr>
        <w:t xml:space="preserve">Right to Privacy </w:t>
      </w:r>
      <w:r w:rsidRPr="00E90CE9">
        <w:rPr>
          <w:b/>
          <w:bCs/>
          <w:highlight w:val="yellow"/>
        </w:rPr>
        <w:t>[Delete as appropriate]</w:t>
      </w:r>
    </w:p>
    <w:p w14:paraId="5A80D403" w14:textId="77777777" w:rsidR="005260B9" w:rsidRDefault="005260B9" w:rsidP="005260B9">
      <w:pPr>
        <w:pStyle w:val="Bullets"/>
        <w:numPr>
          <w:ilvl w:val="4"/>
          <w:numId w:val="16"/>
        </w:numPr>
        <w:rPr>
          <w:highlight w:val="yellow"/>
        </w:rPr>
      </w:pPr>
      <w:r>
        <w:rPr>
          <w:highlight w:val="yellow"/>
        </w:rPr>
        <w:t>[If interference with Human Right to Privacy, please explain how it is necessary and proportionate to interfere and how this outweighs Article 8]</w:t>
      </w:r>
    </w:p>
    <w:p w14:paraId="1B526D1B" w14:textId="77777777" w:rsidR="005260B9" w:rsidRPr="00E90CE9" w:rsidRDefault="005260B9" w:rsidP="005260B9">
      <w:pPr>
        <w:pStyle w:val="Clause"/>
        <w:numPr>
          <w:ilvl w:val="2"/>
          <w:numId w:val="16"/>
        </w:numPr>
        <w:rPr>
          <w:highlight w:val="yellow"/>
        </w:rPr>
      </w:pPr>
      <w:r>
        <w:rPr>
          <w:highlight w:val="yellow"/>
        </w:rPr>
        <w:t>The Parties agree that the data shall be processed fairly and transparently by [</w:t>
      </w:r>
      <w:r>
        <w:rPr>
          <w:b/>
          <w:bCs/>
          <w:highlight w:val="yellow"/>
        </w:rPr>
        <w:t>Delete as appropriate]:</w:t>
      </w:r>
    </w:p>
    <w:p w14:paraId="44305B82" w14:textId="77777777" w:rsidR="005260B9" w:rsidRPr="00E90CE9" w:rsidRDefault="005260B9" w:rsidP="005260B9">
      <w:pPr>
        <w:pStyle w:val="Bullets"/>
        <w:numPr>
          <w:ilvl w:val="4"/>
          <w:numId w:val="16"/>
        </w:numPr>
      </w:pPr>
      <w:r>
        <w:t>Providing an u</w:t>
      </w:r>
      <w:r w:rsidRPr="00E90CE9">
        <w:t>p to date Privacy Policy/Privacy Notice to Data Subjects</w:t>
      </w:r>
      <w:r>
        <w:t xml:space="preserve"> </w:t>
      </w:r>
      <w:r w:rsidRPr="00F20EA8">
        <w:rPr>
          <w:highlight w:val="yellow"/>
        </w:rPr>
        <w:t>[link to appendix]</w:t>
      </w:r>
    </w:p>
    <w:p w14:paraId="0E3354A2" w14:textId="77777777" w:rsidR="005260B9" w:rsidRPr="00E90CE9" w:rsidRDefault="005260B9" w:rsidP="005260B9">
      <w:pPr>
        <w:pStyle w:val="Bullets"/>
        <w:numPr>
          <w:ilvl w:val="4"/>
          <w:numId w:val="16"/>
        </w:numPr>
      </w:pPr>
      <w:r w:rsidRPr="00E90CE9">
        <w:t>Signage/Information Leaflets provided to Data Subjects</w:t>
      </w:r>
      <w:r>
        <w:t xml:space="preserve"> </w:t>
      </w:r>
      <w:r w:rsidRPr="00F20EA8">
        <w:rPr>
          <w:highlight w:val="yellow"/>
        </w:rPr>
        <w:t>[link to appendix]</w:t>
      </w:r>
    </w:p>
    <w:p w14:paraId="62428C7D" w14:textId="77777777" w:rsidR="005260B9" w:rsidRPr="00FC068B" w:rsidRDefault="005260B9" w:rsidP="005260B9">
      <w:pPr>
        <w:pStyle w:val="Bullets"/>
        <w:numPr>
          <w:ilvl w:val="4"/>
          <w:numId w:val="16"/>
        </w:numPr>
        <w:rPr>
          <w:highlight w:val="yellow"/>
        </w:rPr>
      </w:pPr>
      <w:r w:rsidRPr="00E90CE9">
        <w:t xml:space="preserve">Other </w:t>
      </w:r>
      <w:r w:rsidRPr="00FC068B">
        <w:rPr>
          <w:highlight w:val="yellow"/>
        </w:rPr>
        <w:t>[please specify and append]</w:t>
      </w:r>
    </w:p>
    <w:p w14:paraId="2E1475BF" w14:textId="77777777" w:rsidR="005260B9" w:rsidRPr="00191634" w:rsidRDefault="005260B9" w:rsidP="005260B9">
      <w:pPr>
        <w:pStyle w:val="Heading2"/>
        <w:numPr>
          <w:ilvl w:val="1"/>
          <w:numId w:val="16"/>
        </w:numPr>
      </w:pPr>
      <w:r w:rsidRPr="00191634">
        <w:t>Data Quality</w:t>
      </w:r>
    </w:p>
    <w:p w14:paraId="61F5EE29" w14:textId="77777777" w:rsidR="005260B9" w:rsidRPr="00191634" w:rsidRDefault="005260B9" w:rsidP="005260B9">
      <w:pPr>
        <w:pStyle w:val="Clause"/>
        <w:numPr>
          <w:ilvl w:val="2"/>
          <w:numId w:val="16"/>
        </w:numPr>
      </w:pPr>
      <w:r w:rsidRPr="00191634">
        <w:t>The Data Discloser shall take all reasonable steps to ensure that before the Commencement Date, Shared Personal Data are accurate and that it has appropriate internal procedures in place for the Data Receiver to sample Shared Personal Data prior to the Commencement Date and it will update the same if required prior to transferring the Shared Personal Data.</w:t>
      </w:r>
    </w:p>
    <w:p w14:paraId="32BE8991" w14:textId="77777777" w:rsidR="005260B9" w:rsidRPr="00191634" w:rsidRDefault="005260B9" w:rsidP="005260B9">
      <w:pPr>
        <w:pStyle w:val="Clause"/>
        <w:numPr>
          <w:ilvl w:val="2"/>
          <w:numId w:val="16"/>
        </w:numPr>
      </w:pPr>
      <w:r w:rsidRPr="00191634">
        <w:t xml:space="preserve">Shared Personal Data must be limited to the Personal Data described in clause </w:t>
      </w:r>
      <w:r>
        <w:fldChar w:fldCharType="begin"/>
      </w:r>
      <w:r>
        <w:instrText xml:space="preserve"> REF _Ref123902190 \r \h </w:instrText>
      </w:r>
      <w:r>
        <w:fldChar w:fldCharType="separate"/>
      </w:r>
      <w:r>
        <w:t>3.1</w:t>
      </w:r>
      <w:r>
        <w:fldChar w:fldCharType="end"/>
      </w:r>
      <w:r w:rsidRPr="00191634">
        <w:t xml:space="preserve"> and clause </w:t>
      </w:r>
      <w:r>
        <w:fldChar w:fldCharType="begin"/>
      </w:r>
      <w:r>
        <w:instrText xml:space="preserve"> REF _Ref123902205 \r \h </w:instrText>
      </w:r>
      <w:r>
        <w:fldChar w:fldCharType="separate"/>
      </w:r>
      <w:r>
        <w:t>3.2</w:t>
      </w:r>
      <w:r>
        <w:fldChar w:fldCharType="end"/>
      </w:r>
      <w:r w:rsidRPr="00191634">
        <w:t xml:space="preserve"> and the Appendix of this Agreement.</w:t>
      </w:r>
    </w:p>
    <w:p w14:paraId="52B03E04" w14:textId="77777777" w:rsidR="005260B9" w:rsidRPr="00191634" w:rsidRDefault="005260B9" w:rsidP="005260B9">
      <w:pPr>
        <w:pStyle w:val="Heading2"/>
        <w:numPr>
          <w:ilvl w:val="1"/>
          <w:numId w:val="16"/>
        </w:numPr>
      </w:pPr>
      <w:r w:rsidRPr="00191634">
        <w:t>Data Retention and Deletion</w:t>
      </w:r>
    </w:p>
    <w:p w14:paraId="4E47FE16" w14:textId="77777777" w:rsidR="005260B9" w:rsidRPr="00191634" w:rsidRDefault="005260B9" w:rsidP="005260B9">
      <w:pPr>
        <w:pStyle w:val="Clause"/>
        <w:numPr>
          <w:ilvl w:val="2"/>
          <w:numId w:val="16"/>
        </w:numPr>
      </w:pPr>
      <w:r w:rsidRPr="00191634">
        <w:t>The Data Receiver shall not retain or process Shared Personal Data for longer than is necessary to carry out the Agreed Purposes.</w:t>
      </w:r>
    </w:p>
    <w:p w14:paraId="3AEB7BA4" w14:textId="77777777" w:rsidR="005260B9" w:rsidRPr="00191634" w:rsidRDefault="005260B9" w:rsidP="005260B9">
      <w:pPr>
        <w:pStyle w:val="Clause"/>
        <w:numPr>
          <w:ilvl w:val="2"/>
          <w:numId w:val="16"/>
        </w:numPr>
      </w:pPr>
      <w:r w:rsidRPr="00191634">
        <w:t xml:space="preserve">Notwithstanding clause </w:t>
      </w:r>
      <w:r>
        <w:fldChar w:fldCharType="begin"/>
      </w:r>
      <w:r>
        <w:instrText xml:space="preserve"> REF _Ref123902235 \r \h </w:instrText>
      </w:r>
      <w:r>
        <w:fldChar w:fldCharType="separate"/>
      </w:r>
      <w:r>
        <w:t>4.1</w:t>
      </w:r>
      <w:r>
        <w:fldChar w:fldCharType="end"/>
      </w:r>
      <w:r w:rsidRPr="00191634">
        <w:t xml:space="preserve">, </w:t>
      </w:r>
      <w:r>
        <w:t>P</w:t>
      </w:r>
      <w:r w:rsidRPr="00191634">
        <w:t>arties shall continue to retain Shared Personal Data in accordance with any statutory or professional retention periods applicable in their respective areas of work and profession.</w:t>
      </w:r>
    </w:p>
    <w:p w14:paraId="76F320C3" w14:textId="77777777" w:rsidR="005260B9" w:rsidRPr="00191634" w:rsidRDefault="005260B9" w:rsidP="005260B9">
      <w:pPr>
        <w:pStyle w:val="Clause"/>
        <w:numPr>
          <w:ilvl w:val="2"/>
          <w:numId w:val="16"/>
        </w:numPr>
      </w:pPr>
      <w:r w:rsidRPr="00191634">
        <w:t>The Data Receiver shall ensure that any Shared Personal Data are returned to the Data Discloser or securely destroyed in the following circumstances:</w:t>
      </w:r>
    </w:p>
    <w:p w14:paraId="683CBF0A" w14:textId="77777777" w:rsidR="005260B9" w:rsidRPr="00191634" w:rsidRDefault="005260B9" w:rsidP="005260B9">
      <w:pPr>
        <w:pStyle w:val="Bullets"/>
        <w:numPr>
          <w:ilvl w:val="4"/>
          <w:numId w:val="16"/>
        </w:numPr>
      </w:pPr>
      <w:r w:rsidRPr="00191634">
        <w:t>on termination of the Agreement;</w:t>
      </w:r>
    </w:p>
    <w:p w14:paraId="7D79D98A" w14:textId="77777777" w:rsidR="005260B9" w:rsidRPr="00191634" w:rsidRDefault="005260B9" w:rsidP="005260B9">
      <w:pPr>
        <w:pStyle w:val="Bullets"/>
        <w:numPr>
          <w:ilvl w:val="4"/>
          <w:numId w:val="16"/>
        </w:numPr>
      </w:pPr>
      <w:r>
        <w:lastRenderedPageBreak/>
        <w:t>at the Agreement End Date as stated in the Introduction of the Agreement;</w:t>
      </w:r>
    </w:p>
    <w:p w14:paraId="469B8D73" w14:textId="77777777" w:rsidR="005260B9" w:rsidRPr="00191634" w:rsidRDefault="005260B9" w:rsidP="005260B9">
      <w:pPr>
        <w:pStyle w:val="Bullets"/>
        <w:numPr>
          <w:ilvl w:val="4"/>
          <w:numId w:val="16"/>
        </w:numPr>
      </w:pPr>
      <w:r w:rsidRPr="00191634">
        <w:t xml:space="preserve">once processing of the Shared Personal Data is no longer necessary for the purposes it was originally shared for, as set out in clause </w:t>
      </w:r>
      <w:r>
        <w:fldChar w:fldCharType="begin"/>
      </w:r>
      <w:r>
        <w:instrText xml:space="preserve"> REF _Ref123902270 \r \h </w:instrText>
      </w:r>
      <w:r>
        <w:fldChar w:fldCharType="separate"/>
      </w:r>
      <w:r>
        <w:t>2.3</w:t>
      </w:r>
      <w:r>
        <w:fldChar w:fldCharType="end"/>
      </w:r>
      <w:r w:rsidRPr="00191634">
        <w:t>.</w:t>
      </w:r>
    </w:p>
    <w:p w14:paraId="588E5A9B" w14:textId="77777777" w:rsidR="005260B9" w:rsidRPr="00191634" w:rsidRDefault="005260B9" w:rsidP="005260B9">
      <w:pPr>
        <w:pStyle w:val="Heading2"/>
        <w:numPr>
          <w:ilvl w:val="1"/>
          <w:numId w:val="16"/>
        </w:numPr>
      </w:pPr>
      <w:r w:rsidRPr="00191634">
        <w:t xml:space="preserve">Notification of Data Subject Requests and Personal Data Breaches </w:t>
      </w:r>
      <w:r>
        <w:t xml:space="preserve">and Rectification of Data Inaccuracies </w:t>
      </w:r>
    </w:p>
    <w:p w14:paraId="6836C060" w14:textId="77777777" w:rsidR="005260B9" w:rsidRPr="00191634" w:rsidRDefault="005260B9" w:rsidP="005260B9">
      <w:pPr>
        <w:pStyle w:val="Clause"/>
        <w:numPr>
          <w:ilvl w:val="2"/>
          <w:numId w:val="16"/>
        </w:numPr>
      </w:pPr>
      <w:r w:rsidRPr="00191634">
        <w:t xml:space="preserve">Where </w:t>
      </w:r>
      <w:r>
        <w:t>one of the Parties</w:t>
      </w:r>
      <w:r w:rsidRPr="00191634">
        <w:t xml:space="preserve"> receives a request </w:t>
      </w:r>
      <w:r>
        <w:t>from</w:t>
      </w:r>
      <w:r w:rsidRPr="00191634">
        <w:t xml:space="preserve"> any Data Subject to exercise any of their rights under the Data Protection Legislation in relation to the Shared Personal Data provided to it </w:t>
      </w:r>
      <w:r>
        <w:t>another Party, the Receiver of that request shall:</w:t>
      </w:r>
    </w:p>
    <w:p w14:paraId="177F1B70" w14:textId="77777777" w:rsidR="005260B9" w:rsidRPr="00191634" w:rsidRDefault="005260B9" w:rsidP="005260B9">
      <w:pPr>
        <w:pStyle w:val="Sub-clause"/>
        <w:numPr>
          <w:ilvl w:val="3"/>
          <w:numId w:val="16"/>
        </w:numPr>
      </w:pPr>
      <w:r w:rsidRPr="00191634">
        <w:t xml:space="preserve">promptly, and in any event within five (5) </w:t>
      </w:r>
      <w:r>
        <w:t>w</w:t>
      </w:r>
      <w:r w:rsidRPr="00191634">
        <w:t xml:space="preserve">orking </w:t>
      </w:r>
      <w:r>
        <w:t>d</w:t>
      </w:r>
      <w:r w:rsidRPr="00191634">
        <w:t xml:space="preserve">ays of receipt of the request, inform the </w:t>
      </w:r>
      <w:r>
        <w:t>Disclosing Party</w:t>
      </w:r>
      <w:r w:rsidRPr="00191634">
        <w:t xml:space="preserve"> that it has received a request and shall forward such request or correspondence to the </w:t>
      </w:r>
      <w:r>
        <w:t>Disclosing Party</w:t>
      </w:r>
      <w:r w:rsidRPr="00191634">
        <w:t>; and</w:t>
      </w:r>
    </w:p>
    <w:p w14:paraId="024C5522" w14:textId="77777777" w:rsidR="005260B9" w:rsidRPr="00191634" w:rsidRDefault="005260B9" w:rsidP="005260B9">
      <w:pPr>
        <w:pStyle w:val="Sub-clause"/>
        <w:numPr>
          <w:ilvl w:val="3"/>
          <w:numId w:val="16"/>
        </w:numPr>
      </w:pPr>
      <w:r w:rsidRPr="00191634">
        <w:t xml:space="preserve">provide any information and/or assistance as reasonably requested by the </w:t>
      </w:r>
      <w:r>
        <w:t xml:space="preserve">Disclosing Party in respect of the request, </w:t>
      </w:r>
      <w:r w:rsidRPr="00191634">
        <w:t>to help it respond to the request in the timeframes specified by Data Protection Legislation.</w:t>
      </w:r>
    </w:p>
    <w:p w14:paraId="456AAABB" w14:textId="77777777" w:rsidR="005260B9" w:rsidRPr="00191634" w:rsidRDefault="005260B9" w:rsidP="005260B9">
      <w:pPr>
        <w:pStyle w:val="Clause"/>
        <w:numPr>
          <w:ilvl w:val="2"/>
          <w:numId w:val="16"/>
        </w:numPr>
      </w:pPr>
      <w:r>
        <w:t xml:space="preserve">The Parties shall </w:t>
      </w:r>
      <w:r w:rsidRPr="00191634">
        <w:t xml:space="preserve">promptly notify </w:t>
      </w:r>
      <w:r>
        <w:t>one another</w:t>
      </w:r>
      <w:r w:rsidRPr="00191634">
        <w:t xml:space="preserve"> upon becoming aware of any Personal Data Breach relating to the Shared Personal Data and shall: </w:t>
      </w:r>
    </w:p>
    <w:p w14:paraId="28249650" w14:textId="77777777" w:rsidR="005260B9" w:rsidRPr="00191634" w:rsidRDefault="005260B9" w:rsidP="005260B9">
      <w:pPr>
        <w:pStyle w:val="Sub-clause"/>
        <w:numPr>
          <w:ilvl w:val="3"/>
          <w:numId w:val="16"/>
        </w:numPr>
      </w:pPr>
      <w:r w:rsidRPr="00191634">
        <w:t>do all such things as reasonably necessary to assist in mitigating the effects of the Personal Data Breach</w:t>
      </w:r>
      <w:r>
        <w:t xml:space="preserve"> on the other Party/Parties and to the Data Subject</w:t>
      </w:r>
      <w:r w:rsidRPr="00191634">
        <w:t xml:space="preserve">; </w:t>
      </w:r>
    </w:p>
    <w:p w14:paraId="1EA74565" w14:textId="77777777" w:rsidR="005260B9" w:rsidRPr="00191634" w:rsidRDefault="005260B9" w:rsidP="005260B9">
      <w:pPr>
        <w:pStyle w:val="Sub-clause"/>
        <w:numPr>
          <w:ilvl w:val="3"/>
          <w:numId w:val="16"/>
        </w:numPr>
      </w:pPr>
      <w:r w:rsidRPr="00191634">
        <w:t xml:space="preserve">implement any measures necessary to restore the security of any compromised Shared Personal Data; </w:t>
      </w:r>
    </w:p>
    <w:p w14:paraId="121DEE5D" w14:textId="77777777" w:rsidR="005260B9" w:rsidRPr="00191634" w:rsidRDefault="005260B9" w:rsidP="005260B9">
      <w:pPr>
        <w:pStyle w:val="Sub-clause"/>
        <w:numPr>
          <w:ilvl w:val="3"/>
          <w:numId w:val="16"/>
        </w:numPr>
      </w:pPr>
      <w:r>
        <w:t>w</w:t>
      </w:r>
      <w:r w:rsidRPr="00191634">
        <w:t xml:space="preserve">ork </w:t>
      </w:r>
      <w:r>
        <w:t xml:space="preserve">collaboratively </w:t>
      </w:r>
      <w:r w:rsidRPr="00191634">
        <w:t>to make any required notifications to the Information Commissioner’s Office and affected Data Subjects in accordance with the Data Protection Legislation (including the timeframes set out therein); and</w:t>
      </w:r>
    </w:p>
    <w:p w14:paraId="214E21E1" w14:textId="77777777" w:rsidR="005260B9" w:rsidRDefault="005260B9" w:rsidP="005260B9">
      <w:pPr>
        <w:pStyle w:val="Sub-clause"/>
        <w:numPr>
          <w:ilvl w:val="3"/>
          <w:numId w:val="16"/>
        </w:numPr>
      </w:pPr>
      <w:r w:rsidRPr="00191634">
        <w:t xml:space="preserve">not do anything which may damage the reputation of the </w:t>
      </w:r>
      <w:r>
        <w:t xml:space="preserve">Parties </w:t>
      </w:r>
      <w:r w:rsidRPr="00191634">
        <w:t xml:space="preserve">or </w:t>
      </w:r>
      <w:r>
        <w:t>their</w:t>
      </w:r>
      <w:r w:rsidRPr="00191634">
        <w:t xml:space="preserve"> relationship</w:t>
      </w:r>
      <w:r>
        <w:t>s</w:t>
      </w:r>
      <w:r w:rsidRPr="00191634">
        <w:t xml:space="preserve"> with the relevant Data Subjects, save as required by Law. </w:t>
      </w:r>
    </w:p>
    <w:p w14:paraId="4D768224" w14:textId="77777777" w:rsidR="005260B9" w:rsidRDefault="005260B9" w:rsidP="005260B9">
      <w:pPr>
        <w:pStyle w:val="Clause"/>
        <w:numPr>
          <w:ilvl w:val="2"/>
          <w:numId w:val="16"/>
        </w:numPr>
      </w:pPr>
      <w:r>
        <w:t>Where a Party identifies that Shared Personal Data is inaccurate, whether this takes place by the Disclosing Party after Sharing, or by the Receiving Party on receipt, the Parties shall notify the Data Discloser or Data Receiver respectively as soon as possible but no later than 3 working days after identification and;</w:t>
      </w:r>
    </w:p>
    <w:p w14:paraId="566B6AE8" w14:textId="77777777" w:rsidR="005260B9" w:rsidRDefault="005260B9" w:rsidP="005260B9">
      <w:pPr>
        <w:pStyle w:val="Sub-clause"/>
        <w:numPr>
          <w:ilvl w:val="3"/>
          <w:numId w:val="16"/>
        </w:numPr>
      </w:pPr>
      <w:r>
        <w:t>work collaboratively to rectify the inaccurate data and establish any impact to the processing activities or the rights and freedoms of the concerned Data Subjects;</w:t>
      </w:r>
    </w:p>
    <w:p w14:paraId="71F11939" w14:textId="77777777" w:rsidR="005260B9" w:rsidRDefault="005260B9" w:rsidP="005260B9">
      <w:pPr>
        <w:pStyle w:val="Sub-clause"/>
        <w:numPr>
          <w:ilvl w:val="3"/>
          <w:numId w:val="16"/>
        </w:numPr>
      </w:pPr>
      <w:r>
        <w:t>work collaboratively to assess the risks associated with the inaccurate data and assist the other Party in identifying this;</w:t>
      </w:r>
    </w:p>
    <w:p w14:paraId="4961A2D5" w14:textId="77777777" w:rsidR="005260B9" w:rsidRPr="00191634" w:rsidRDefault="005260B9" w:rsidP="005260B9">
      <w:pPr>
        <w:pStyle w:val="Sub-clause"/>
        <w:numPr>
          <w:ilvl w:val="3"/>
          <w:numId w:val="16"/>
        </w:numPr>
      </w:pPr>
      <w:r>
        <w:t xml:space="preserve">the Discloser of the inaccurate data shall identify where the inaccuracy originated and take the necessary action to prevent future occurrences. </w:t>
      </w:r>
    </w:p>
    <w:p w14:paraId="41B09A6C" w14:textId="77777777" w:rsidR="005260B9" w:rsidRPr="00191634" w:rsidRDefault="005260B9" w:rsidP="005260B9">
      <w:pPr>
        <w:pStyle w:val="Heading2"/>
        <w:numPr>
          <w:ilvl w:val="1"/>
          <w:numId w:val="16"/>
        </w:numPr>
      </w:pPr>
      <w:r w:rsidRPr="00191634">
        <w:t>Variation</w:t>
      </w:r>
    </w:p>
    <w:p w14:paraId="2F21014B" w14:textId="77777777" w:rsidR="005260B9" w:rsidRPr="00191634" w:rsidRDefault="005260B9" w:rsidP="005260B9">
      <w:pPr>
        <w:pStyle w:val="Clause"/>
        <w:numPr>
          <w:ilvl w:val="2"/>
          <w:numId w:val="16"/>
        </w:numPr>
      </w:pPr>
      <w:r w:rsidRPr="00191634">
        <w:t>No variation of this Agreement shall be effective unless it is in writing and signed by the Parties (or their authorised representatives).</w:t>
      </w:r>
      <w:r>
        <w:t xml:space="preserve"> </w:t>
      </w:r>
    </w:p>
    <w:p w14:paraId="203B6ED8" w14:textId="77777777" w:rsidR="005260B9" w:rsidRPr="00191634" w:rsidRDefault="005260B9" w:rsidP="005260B9">
      <w:pPr>
        <w:pStyle w:val="Heading2"/>
        <w:numPr>
          <w:ilvl w:val="1"/>
          <w:numId w:val="16"/>
        </w:numPr>
      </w:pPr>
      <w:r w:rsidRPr="00191634">
        <w:t>Review</w:t>
      </w:r>
    </w:p>
    <w:p w14:paraId="23180AB8" w14:textId="77777777" w:rsidR="005260B9" w:rsidRPr="00191634" w:rsidRDefault="005260B9" w:rsidP="005260B9">
      <w:pPr>
        <w:pStyle w:val="Clause"/>
        <w:numPr>
          <w:ilvl w:val="2"/>
          <w:numId w:val="16"/>
        </w:numPr>
      </w:pPr>
      <w:r w:rsidRPr="00191634">
        <w:lastRenderedPageBreak/>
        <w:t xml:space="preserve">The parties shall review the effectiveness of this data sharing initiative every </w:t>
      </w:r>
      <w:r w:rsidRPr="00355613">
        <w:rPr>
          <w:highlight w:val="yellow"/>
        </w:rPr>
        <w:t>[insert time frame]</w:t>
      </w:r>
      <w:r w:rsidRPr="00191634">
        <w:t xml:space="preserve">, having consideration to the aims and purposes set out in clause </w:t>
      </w:r>
      <w:r>
        <w:fldChar w:fldCharType="begin"/>
      </w:r>
      <w:r>
        <w:instrText xml:space="preserve"> REF _Ref123902363 \r \h </w:instrText>
      </w:r>
      <w:r>
        <w:fldChar w:fldCharType="separate"/>
      </w:r>
      <w:r>
        <w:t>2.2</w:t>
      </w:r>
      <w:r>
        <w:fldChar w:fldCharType="end"/>
      </w:r>
      <w:r w:rsidRPr="00191634">
        <w:t xml:space="preserve"> and clause </w:t>
      </w:r>
      <w:r>
        <w:fldChar w:fldCharType="begin"/>
      </w:r>
      <w:r>
        <w:instrText xml:space="preserve"> REF _Ref123902270 \r \h </w:instrText>
      </w:r>
      <w:r>
        <w:fldChar w:fldCharType="separate"/>
      </w:r>
      <w:r>
        <w:t>2.3</w:t>
      </w:r>
      <w:r>
        <w:fldChar w:fldCharType="end"/>
      </w:r>
      <w:r w:rsidRPr="00191634">
        <w:t>. The Parties shall continue, amend, or terminate the Agreement depending on the outcome of this review.</w:t>
      </w:r>
    </w:p>
    <w:p w14:paraId="6C5FFBCC" w14:textId="77777777" w:rsidR="005260B9" w:rsidRPr="00191634" w:rsidRDefault="005260B9" w:rsidP="005260B9">
      <w:pPr>
        <w:pStyle w:val="Clause"/>
        <w:numPr>
          <w:ilvl w:val="2"/>
          <w:numId w:val="16"/>
        </w:numPr>
      </w:pPr>
      <w:r w:rsidRPr="00191634">
        <w:t>The review of the effectiveness of the data sharing initiative will involve:</w:t>
      </w:r>
    </w:p>
    <w:p w14:paraId="394BC1D6" w14:textId="77777777" w:rsidR="005260B9" w:rsidRPr="00191634" w:rsidRDefault="005260B9" w:rsidP="005260B9">
      <w:pPr>
        <w:pStyle w:val="Bullets"/>
        <w:numPr>
          <w:ilvl w:val="4"/>
          <w:numId w:val="16"/>
        </w:numPr>
      </w:pPr>
      <w:r w:rsidRPr="00191634">
        <w:t>assessing whether the purposes for which the Shared Personal Data is being processed are still the ones listed in this Agreement;</w:t>
      </w:r>
    </w:p>
    <w:p w14:paraId="2A580AFB" w14:textId="77777777" w:rsidR="005260B9" w:rsidRPr="00191634" w:rsidRDefault="005260B9" w:rsidP="005260B9">
      <w:pPr>
        <w:pStyle w:val="Bullets"/>
        <w:numPr>
          <w:ilvl w:val="4"/>
          <w:numId w:val="16"/>
        </w:numPr>
      </w:pPr>
      <w:r w:rsidRPr="00191634">
        <w:t xml:space="preserve">assessing whether the Shared Personal Data is still as listed in clause </w:t>
      </w:r>
      <w:r>
        <w:fldChar w:fldCharType="begin"/>
      </w:r>
      <w:r>
        <w:instrText xml:space="preserve"> REF _Ref123902190 \r \h </w:instrText>
      </w:r>
      <w:r>
        <w:fldChar w:fldCharType="separate"/>
      </w:r>
      <w:r>
        <w:t>3.1</w:t>
      </w:r>
      <w:r>
        <w:fldChar w:fldCharType="end"/>
      </w:r>
      <w:r w:rsidRPr="00191634">
        <w:t xml:space="preserve"> and clause </w:t>
      </w:r>
      <w:r>
        <w:fldChar w:fldCharType="begin"/>
      </w:r>
      <w:r>
        <w:instrText xml:space="preserve"> REF _Ref123902205 \r \h </w:instrText>
      </w:r>
      <w:r>
        <w:fldChar w:fldCharType="separate"/>
      </w:r>
      <w:r>
        <w:t>3.2</w:t>
      </w:r>
      <w:r>
        <w:fldChar w:fldCharType="end"/>
      </w:r>
      <w:r w:rsidRPr="00191634">
        <w:t xml:space="preserve"> of this Agreement;</w:t>
      </w:r>
    </w:p>
    <w:p w14:paraId="0EAA09AA" w14:textId="77777777" w:rsidR="005260B9" w:rsidRPr="00191634" w:rsidRDefault="005260B9" w:rsidP="005260B9">
      <w:pPr>
        <w:pStyle w:val="Bullets"/>
        <w:numPr>
          <w:ilvl w:val="4"/>
          <w:numId w:val="16"/>
        </w:numPr>
      </w:pPr>
      <w:r w:rsidRPr="00191634">
        <w:t>assessing whether the legal framework governing data quality, retention, and Data Subjects' rights are being complied with; and</w:t>
      </w:r>
    </w:p>
    <w:p w14:paraId="2C41875D" w14:textId="77777777" w:rsidR="005260B9" w:rsidRPr="00191634" w:rsidRDefault="005260B9" w:rsidP="005260B9">
      <w:pPr>
        <w:pStyle w:val="Bullets"/>
        <w:numPr>
          <w:ilvl w:val="4"/>
          <w:numId w:val="16"/>
        </w:numPr>
      </w:pPr>
      <w:r w:rsidRPr="00191634">
        <w:t>assessing whether Personal Data Breaches involving the Shared Personal Data have been handled in accordance with this Agreement and the applicable legal framework.</w:t>
      </w:r>
    </w:p>
    <w:p w14:paraId="68F2D4FF" w14:textId="77777777" w:rsidR="005260B9" w:rsidRPr="00191634" w:rsidRDefault="005260B9" w:rsidP="005260B9">
      <w:pPr>
        <w:pStyle w:val="Clause"/>
        <w:numPr>
          <w:ilvl w:val="2"/>
          <w:numId w:val="16"/>
        </w:numPr>
      </w:pPr>
      <w:r w:rsidRPr="00191634">
        <w:t>If the Constabulary are party to this agreement to satisfy MOPI requirements this agreement will be reviewed annually.</w:t>
      </w:r>
    </w:p>
    <w:p w14:paraId="46E22F26" w14:textId="77777777" w:rsidR="005260B9" w:rsidRPr="00191634" w:rsidRDefault="005260B9" w:rsidP="005260B9">
      <w:pPr>
        <w:pStyle w:val="Heading2"/>
        <w:numPr>
          <w:ilvl w:val="1"/>
          <w:numId w:val="16"/>
        </w:numPr>
      </w:pPr>
      <w:r w:rsidRPr="00191634">
        <w:t>Supplementary Documents</w:t>
      </w:r>
    </w:p>
    <w:p w14:paraId="6E37AFF3" w14:textId="77777777" w:rsidR="005260B9" w:rsidRPr="00191634" w:rsidRDefault="005260B9" w:rsidP="005260B9">
      <w:pPr>
        <w:pStyle w:val="Clause"/>
        <w:numPr>
          <w:ilvl w:val="2"/>
          <w:numId w:val="16"/>
        </w:numPr>
      </w:pPr>
      <w:r w:rsidRPr="00191634">
        <w:t>This agreement is to be supplemented by</w:t>
      </w:r>
      <w:r>
        <w:t xml:space="preserve"> the following</w:t>
      </w:r>
      <w:r w:rsidRPr="00191634">
        <w:t xml:space="preserve"> supporting documents, </w:t>
      </w:r>
      <w:r w:rsidRPr="00E90CE9">
        <w:rPr>
          <w:highlight w:val="yellow"/>
        </w:rPr>
        <w:t>[</w:t>
      </w:r>
      <w:r>
        <w:rPr>
          <w:highlight w:val="yellow"/>
        </w:rPr>
        <w:t>Delete optional documents as appropriate</w:t>
      </w:r>
      <w:r w:rsidRPr="00E90CE9">
        <w:rPr>
          <w:highlight w:val="yellow"/>
        </w:rPr>
        <w:t>]</w:t>
      </w:r>
    </w:p>
    <w:p w14:paraId="6965F3BD" w14:textId="77777777" w:rsidR="005260B9" w:rsidRDefault="005260B9" w:rsidP="005260B9">
      <w:pPr>
        <w:pStyle w:val="Bullets"/>
        <w:numPr>
          <w:ilvl w:val="4"/>
          <w:numId w:val="16"/>
        </w:numPr>
      </w:pPr>
      <w:r w:rsidRPr="00E52DA2">
        <w:rPr>
          <w:highlight w:val="yellow"/>
        </w:rPr>
        <w:t>[required]</w:t>
      </w:r>
      <w:r>
        <w:t xml:space="preserve"> </w:t>
      </w:r>
      <w:r w:rsidRPr="004B2AD6">
        <w:t>Information Transfer Procedure, including detailed security arrangements</w:t>
      </w:r>
    </w:p>
    <w:p w14:paraId="2985E077" w14:textId="0FBC3588" w:rsidR="00391634" w:rsidRPr="004B2AD6" w:rsidRDefault="00391634" w:rsidP="005260B9">
      <w:pPr>
        <w:pStyle w:val="Bullets"/>
        <w:numPr>
          <w:ilvl w:val="4"/>
          <w:numId w:val="16"/>
        </w:numPr>
      </w:pPr>
      <w:r>
        <w:t>[required for Joint Controller Agreement] Roles and Responsibilities of Joint Controllers</w:t>
      </w:r>
    </w:p>
    <w:p w14:paraId="07447A3F" w14:textId="77777777" w:rsidR="005260B9" w:rsidRPr="004B2AD6" w:rsidRDefault="005260B9" w:rsidP="005260B9">
      <w:pPr>
        <w:pStyle w:val="Bullets"/>
        <w:numPr>
          <w:ilvl w:val="4"/>
          <w:numId w:val="16"/>
        </w:numPr>
      </w:pPr>
      <w:r w:rsidRPr="00E52DA2">
        <w:rPr>
          <w:highlight w:val="yellow"/>
        </w:rPr>
        <w:t>[required]</w:t>
      </w:r>
      <w:r>
        <w:t xml:space="preserve"> </w:t>
      </w:r>
      <w:r w:rsidRPr="004B2AD6">
        <w:t>Information Flow Map</w:t>
      </w:r>
    </w:p>
    <w:p w14:paraId="69127B88" w14:textId="77777777" w:rsidR="005260B9" w:rsidRPr="004B2AD6" w:rsidRDefault="005260B9" w:rsidP="005260B9">
      <w:pPr>
        <w:pStyle w:val="Bullets"/>
        <w:numPr>
          <w:ilvl w:val="4"/>
          <w:numId w:val="16"/>
        </w:numPr>
      </w:pPr>
      <w:r w:rsidRPr="00E52DA2">
        <w:rPr>
          <w:highlight w:val="yellow"/>
        </w:rPr>
        <w:t>[required]</w:t>
      </w:r>
      <w:r>
        <w:t xml:space="preserve"> </w:t>
      </w:r>
      <w:r w:rsidRPr="004B2AD6">
        <w:t xml:space="preserve">Information for Subjects including signs, Leaflets, Privacy Notice Clauses </w:t>
      </w:r>
    </w:p>
    <w:p w14:paraId="0519F68A" w14:textId="77777777" w:rsidR="005260B9" w:rsidRPr="004B2AD6" w:rsidRDefault="005260B9" w:rsidP="005260B9">
      <w:pPr>
        <w:pStyle w:val="Bullets"/>
        <w:numPr>
          <w:ilvl w:val="4"/>
          <w:numId w:val="16"/>
        </w:numPr>
      </w:pPr>
      <w:r w:rsidRPr="00E52DA2">
        <w:rPr>
          <w:highlight w:val="yellow"/>
        </w:rPr>
        <w:t>[required]</w:t>
      </w:r>
      <w:r>
        <w:t xml:space="preserve"> </w:t>
      </w:r>
      <w:r w:rsidRPr="004B2AD6">
        <w:t>Approved Processors/Sub-Processors</w:t>
      </w:r>
    </w:p>
    <w:p w14:paraId="5013AF59" w14:textId="77777777" w:rsidR="005260B9" w:rsidRPr="00191634" w:rsidRDefault="005260B9" w:rsidP="005260B9">
      <w:pPr>
        <w:pStyle w:val="Bullets"/>
        <w:numPr>
          <w:ilvl w:val="4"/>
          <w:numId w:val="16"/>
        </w:numPr>
      </w:pPr>
      <w:r w:rsidRPr="004B2AD6">
        <w:rPr>
          <w:highlight w:val="yellow"/>
        </w:rPr>
        <w:t>[optional]</w:t>
      </w:r>
      <w:r>
        <w:t xml:space="preserve"> </w:t>
      </w:r>
      <w:r w:rsidRPr="00191634">
        <w:t>Information Risk Assessment</w:t>
      </w:r>
    </w:p>
    <w:p w14:paraId="1E3AD169" w14:textId="77777777" w:rsidR="005260B9" w:rsidRPr="00191634" w:rsidRDefault="005260B9" w:rsidP="005260B9">
      <w:pPr>
        <w:pStyle w:val="Bullets"/>
        <w:numPr>
          <w:ilvl w:val="4"/>
          <w:numId w:val="16"/>
        </w:numPr>
      </w:pPr>
      <w:r w:rsidRPr="004B2AD6">
        <w:rPr>
          <w:highlight w:val="yellow"/>
        </w:rPr>
        <w:t>[optional]</w:t>
      </w:r>
      <w:r>
        <w:t xml:space="preserve"> </w:t>
      </w:r>
      <w:r w:rsidRPr="00191634">
        <w:t>Data Protection Privacy Impact Assessment</w:t>
      </w:r>
    </w:p>
    <w:p w14:paraId="51806815" w14:textId="77777777" w:rsidR="005260B9" w:rsidRPr="00191634" w:rsidRDefault="005260B9" w:rsidP="005260B9">
      <w:pPr>
        <w:pStyle w:val="Bullets"/>
        <w:numPr>
          <w:ilvl w:val="4"/>
          <w:numId w:val="16"/>
        </w:numPr>
      </w:pPr>
      <w:r w:rsidRPr="004B2AD6">
        <w:rPr>
          <w:highlight w:val="yellow"/>
        </w:rPr>
        <w:t>[optional]</w:t>
      </w:r>
      <w:r>
        <w:t xml:space="preserve"> </w:t>
      </w:r>
      <w:r w:rsidRPr="00191634">
        <w:t>Retention Schedule entries applicable to the processing</w:t>
      </w:r>
    </w:p>
    <w:p w14:paraId="4625DDA6" w14:textId="77777777" w:rsidR="005260B9" w:rsidRPr="004B2AD6" w:rsidRDefault="005260B9" w:rsidP="005260B9">
      <w:pPr>
        <w:pStyle w:val="Bullets"/>
        <w:numPr>
          <w:ilvl w:val="0"/>
          <w:numId w:val="0"/>
        </w:numPr>
        <w:ind w:left="1077"/>
        <w:rPr>
          <w:highlight w:val="yellow"/>
        </w:rPr>
      </w:pPr>
    </w:p>
    <w:p w14:paraId="35B4F1FC" w14:textId="77777777" w:rsidR="005260B9" w:rsidRPr="00191634" w:rsidRDefault="005260B9" w:rsidP="005260B9">
      <w:pPr>
        <w:pStyle w:val="Heading2"/>
        <w:numPr>
          <w:ilvl w:val="1"/>
          <w:numId w:val="16"/>
        </w:numPr>
      </w:pPr>
      <w:r w:rsidRPr="00191634">
        <w:t>Point of Contact for Each Party</w:t>
      </w:r>
    </w:p>
    <w:tbl>
      <w:tblPr>
        <w:tblStyle w:val="TableGrid"/>
        <w:tblW w:w="9889" w:type="dxa"/>
        <w:tblLayout w:type="fixed"/>
        <w:tblLook w:val="04A0" w:firstRow="1" w:lastRow="0" w:firstColumn="1" w:lastColumn="0" w:noHBand="0" w:noVBand="1"/>
      </w:tblPr>
      <w:tblGrid>
        <w:gridCol w:w="1929"/>
        <w:gridCol w:w="2414"/>
        <w:gridCol w:w="2286"/>
        <w:gridCol w:w="3260"/>
      </w:tblGrid>
      <w:tr w:rsidR="00AE6E38" w:rsidRPr="00191634" w14:paraId="3DC8E179" w14:textId="77777777" w:rsidTr="00FF5B49">
        <w:trPr>
          <w:trHeight w:val="20"/>
        </w:trPr>
        <w:tc>
          <w:tcPr>
            <w:tcW w:w="1929" w:type="dxa"/>
            <w:tcBorders>
              <w:top w:val="nil"/>
              <w:left w:val="nil"/>
            </w:tcBorders>
            <w:vAlign w:val="center"/>
          </w:tcPr>
          <w:p w14:paraId="1B41FD37" w14:textId="77777777" w:rsidR="00AE6E38" w:rsidRPr="00191634" w:rsidRDefault="00AE6E38" w:rsidP="00FF5B49">
            <w:pPr>
              <w:pStyle w:val="TableText"/>
            </w:pPr>
          </w:p>
        </w:tc>
        <w:tc>
          <w:tcPr>
            <w:tcW w:w="2414" w:type="dxa"/>
            <w:vAlign w:val="center"/>
          </w:tcPr>
          <w:p w14:paraId="4D9BD80F" w14:textId="77777777" w:rsidR="00AE6E38" w:rsidRPr="00191634" w:rsidRDefault="00AE6E38" w:rsidP="00FF5B49">
            <w:pPr>
              <w:pStyle w:val="TableText"/>
            </w:pPr>
            <w:r w:rsidRPr="00191634">
              <w:t>Name</w:t>
            </w:r>
          </w:p>
        </w:tc>
        <w:tc>
          <w:tcPr>
            <w:tcW w:w="2286" w:type="dxa"/>
            <w:vAlign w:val="center"/>
          </w:tcPr>
          <w:p w14:paraId="6EBC9050" w14:textId="77777777" w:rsidR="00AE6E38" w:rsidRPr="00191634" w:rsidRDefault="00AE6E38" w:rsidP="00FF5B49">
            <w:pPr>
              <w:pStyle w:val="TableText"/>
            </w:pPr>
            <w:r w:rsidRPr="00191634">
              <w:t xml:space="preserve">Role </w:t>
            </w:r>
          </w:p>
        </w:tc>
        <w:tc>
          <w:tcPr>
            <w:tcW w:w="3260" w:type="dxa"/>
            <w:vAlign w:val="center"/>
          </w:tcPr>
          <w:p w14:paraId="52F9373C" w14:textId="77777777" w:rsidR="00AE6E38" w:rsidRPr="00191634" w:rsidRDefault="00AE6E38" w:rsidP="00FF5B49">
            <w:pPr>
              <w:pStyle w:val="TableText"/>
            </w:pPr>
            <w:r w:rsidRPr="00191634">
              <w:t>Contact Details</w:t>
            </w:r>
          </w:p>
        </w:tc>
      </w:tr>
      <w:tr w:rsidR="00AE6E38" w:rsidRPr="00191634" w14:paraId="247F1C66" w14:textId="77777777" w:rsidTr="00FF5B49">
        <w:trPr>
          <w:trHeight w:val="20"/>
        </w:trPr>
        <w:tc>
          <w:tcPr>
            <w:tcW w:w="1929" w:type="dxa"/>
          </w:tcPr>
          <w:p w14:paraId="5E7EAF47" w14:textId="77777777" w:rsidR="00AE6E38" w:rsidRPr="00191634" w:rsidRDefault="00AE6E38" w:rsidP="00FF5B49">
            <w:pPr>
              <w:pStyle w:val="TableText"/>
            </w:pPr>
            <w:r w:rsidRPr="00191634">
              <w:t>Party 1</w:t>
            </w:r>
            <w:r>
              <w:t xml:space="preserve"> -</w:t>
            </w:r>
          </w:p>
          <w:p w14:paraId="3D172C35" w14:textId="77777777" w:rsidR="00AE6E38" w:rsidRPr="00191634" w:rsidRDefault="00AE6E38" w:rsidP="00FF5B49">
            <w:pPr>
              <w:pStyle w:val="TableText"/>
            </w:pPr>
            <w:r w:rsidRPr="002A6131">
              <w:rPr>
                <w:sz w:val="22"/>
                <w:szCs w:val="22"/>
              </w:rPr>
              <w:t xml:space="preserve">(This will be the person who is the lead for the agreement.)  </w:t>
            </w:r>
          </w:p>
        </w:tc>
        <w:tc>
          <w:tcPr>
            <w:tcW w:w="2414" w:type="dxa"/>
          </w:tcPr>
          <w:p w14:paraId="3D07B8EF" w14:textId="77777777" w:rsidR="00AE6E38" w:rsidRPr="00191634" w:rsidRDefault="00AE6E38" w:rsidP="00FF5B49">
            <w:pPr>
              <w:pStyle w:val="TableText"/>
            </w:pPr>
          </w:p>
          <w:p w14:paraId="6C4E6DD5" w14:textId="77777777" w:rsidR="00AE6E38" w:rsidRPr="00191634" w:rsidRDefault="00AE6E38" w:rsidP="00FF5B49">
            <w:pPr>
              <w:pStyle w:val="TableText"/>
            </w:pPr>
          </w:p>
          <w:p w14:paraId="17D86963" w14:textId="77777777" w:rsidR="00AE6E38" w:rsidRPr="00191634" w:rsidRDefault="00AE6E38" w:rsidP="00FF5B49">
            <w:pPr>
              <w:pStyle w:val="TableText"/>
            </w:pPr>
          </w:p>
        </w:tc>
        <w:tc>
          <w:tcPr>
            <w:tcW w:w="2286" w:type="dxa"/>
          </w:tcPr>
          <w:p w14:paraId="644FA8BF" w14:textId="77777777" w:rsidR="00AE6E38" w:rsidRPr="00191634" w:rsidRDefault="00AE6E38" w:rsidP="00FF5B49">
            <w:pPr>
              <w:pStyle w:val="TableText"/>
            </w:pPr>
          </w:p>
        </w:tc>
        <w:tc>
          <w:tcPr>
            <w:tcW w:w="3260" w:type="dxa"/>
          </w:tcPr>
          <w:p w14:paraId="5F09808D" w14:textId="77777777" w:rsidR="00AE6E38" w:rsidRPr="00191634" w:rsidRDefault="00AE6E38" w:rsidP="00FF5B49">
            <w:pPr>
              <w:pStyle w:val="TableText"/>
            </w:pPr>
          </w:p>
          <w:p w14:paraId="0A9580E9" w14:textId="77777777" w:rsidR="00AE6E38" w:rsidRPr="00191634" w:rsidRDefault="00AE6E38" w:rsidP="00FF5B49">
            <w:pPr>
              <w:pStyle w:val="TableText"/>
            </w:pPr>
          </w:p>
        </w:tc>
      </w:tr>
      <w:tr w:rsidR="00AE6E38" w:rsidRPr="00191634" w14:paraId="580BAFDC" w14:textId="77777777" w:rsidTr="00FF5B49">
        <w:trPr>
          <w:trHeight w:val="20"/>
        </w:trPr>
        <w:tc>
          <w:tcPr>
            <w:tcW w:w="1929" w:type="dxa"/>
          </w:tcPr>
          <w:p w14:paraId="3B713FE9" w14:textId="77777777" w:rsidR="00AE6E38" w:rsidRPr="00191634" w:rsidRDefault="00AE6E38" w:rsidP="00FF5B49">
            <w:pPr>
              <w:pStyle w:val="TableText"/>
            </w:pPr>
            <w:r w:rsidRPr="00191634">
              <w:t>Party 2</w:t>
            </w:r>
            <w:r>
              <w:t xml:space="preserve"> -</w:t>
            </w:r>
          </w:p>
        </w:tc>
        <w:tc>
          <w:tcPr>
            <w:tcW w:w="2414" w:type="dxa"/>
          </w:tcPr>
          <w:p w14:paraId="02AD92BC" w14:textId="77777777" w:rsidR="00AE6E38" w:rsidRPr="00191634" w:rsidRDefault="00AE6E38" w:rsidP="00FF5B49">
            <w:pPr>
              <w:pStyle w:val="TableText"/>
            </w:pPr>
          </w:p>
        </w:tc>
        <w:tc>
          <w:tcPr>
            <w:tcW w:w="2286" w:type="dxa"/>
          </w:tcPr>
          <w:p w14:paraId="57E2D58A" w14:textId="77777777" w:rsidR="00AE6E38" w:rsidRPr="00191634" w:rsidRDefault="00AE6E38" w:rsidP="00FF5B49">
            <w:pPr>
              <w:pStyle w:val="TableText"/>
            </w:pPr>
          </w:p>
        </w:tc>
        <w:tc>
          <w:tcPr>
            <w:tcW w:w="3260" w:type="dxa"/>
          </w:tcPr>
          <w:p w14:paraId="34270586" w14:textId="77777777" w:rsidR="00AE6E38" w:rsidRPr="00191634" w:rsidRDefault="00AE6E38" w:rsidP="00FF5B49">
            <w:pPr>
              <w:pStyle w:val="TableText"/>
            </w:pPr>
          </w:p>
        </w:tc>
      </w:tr>
      <w:tr w:rsidR="00AE6E38" w:rsidRPr="00191634" w14:paraId="56CB4FB0" w14:textId="77777777" w:rsidTr="00FF5B49">
        <w:trPr>
          <w:trHeight w:val="20"/>
        </w:trPr>
        <w:tc>
          <w:tcPr>
            <w:tcW w:w="1929" w:type="dxa"/>
          </w:tcPr>
          <w:p w14:paraId="53665E04" w14:textId="77777777" w:rsidR="00AE6E38" w:rsidRPr="00191634" w:rsidRDefault="00AE6E38" w:rsidP="00FF5B49">
            <w:pPr>
              <w:pStyle w:val="TableText"/>
            </w:pPr>
            <w:r w:rsidRPr="00191634">
              <w:lastRenderedPageBreak/>
              <w:t>Party 3</w:t>
            </w:r>
            <w:r>
              <w:t xml:space="preserve"> -</w:t>
            </w:r>
          </w:p>
        </w:tc>
        <w:tc>
          <w:tcPr>
            <w:tcW w:w="2414" w:type="dxa"/>
          </w:tcPr>
          <w:p w14:paraId="1931AA27" w14:textId="77777777" w:rsidR="00AE6E38" w:rsidRPr="00191634" w:rsidRDefault="00AE6E38" w:rsidP="00FF5B49">
            <w:pPr>
              <w:pStyle w:val="TableText"/>
            </w:pPr>
          </w:p>
        </w:tc>
        <w:tc>
          <w:tcPr>
            <w:tcW w:w="2286" w:type="dxa"/>
          </w:tcPr>
          <w:p w14:paraId="215966D2" w14:textId="77777777" w:rsidR="00AE6E38" w:rsidRPr="00191634" w:rsidRDefault="00AE6E38" w:rsidP="00FF5B49">
            <w:pPr>
              <w:pStyle w:val="TableText"/>
            </w:pPr>
          </w:p>
        </w:tc>
        <w:tc>
          <w:tcPr>
            <w:tcW w:w="3260" w:type="dxa"/>
          </w:tcPr>
          <w:p w14:paraId="7DCA5928" w14:textId="77777777" w:rsidR="00AE6E38" w:rsidRPr="00191634" w:rsidRDefault="00AE6E38" w:rsidP="00FF5B49">
            <w:pPr>
              <w:pStyle w:val="TableText"/>
            </w:pPr>
          </w:p>
        </w:tc>
      </w:tr>
    </w:tbl>
    <w:p w14:paraId="4BD83178" w14:textId="77777777" w:rsidR="00AE6E38" w:rsidRPr="00191634" w:rsidRDefault="00AE6E38" w:rsidP="00AE6E38">
      <w:pPr>
        <w:pStyle w:val="Heading2"/>
      </w:pPr>
      <w:r>
        <w:t>Signatories</w:t>
      </w:r>
    </w:p>
    <w:tbl>
      <w:tblPr>
        <w:tblStyle w:val="TableGrid"/>
        <w:tblW w:w="9894" w:type="dxa"/>
        <w:tblLayout w:type="fixed"/>
        <w:tblLook w:val="04A0" w:firstRow="1" w:lastRow="0" w:firstColumn="1" w:lastColumn="0" w:noHBand="0" w:noVBand="1"/>
      </w:tblPr>
      <w:tblGrid>
        <w:gridCol w:w="1929"/>
        <w:gridCol w:w="1991"/>
        <w:gridCol w:w="1991"/>
        <w:gridCol w:w="1991"/>
        <w:gridCol w:w="1992"/>
      </w:tblGrid>
      <w:tr w:rsidR="00AE6E38" w:rsidRPr="00191634" w14:paraId="75BC4529" w14:textId="77777777" w:rsidTr="00FF5B49">
        <w:trPr>
          <w:trHeight w:val="20"/>
        </w:trPr>
        <w:tc>
          <w:tcPr>
            <w:tcW w:w="1929" w:type="dxa"/>
            <w:tcBorders>
              <w:top w:val="nil"/>
              <w:left w:val="nil"/>
            </w:tcBorders>
            <w:vAlign w:val="center"/>
          </w:tcPr>
          <w:p w14:paraId="3FEEAD73" w14:textId="77777777" w:rsidR="00AE6E38" w:rsidRPr="00191634" w:rsidRDefault="00AE6E38" w:rsidP="00FF5B49">
            <w:pPr>
              <w:pStyle w:val="TableText"/>
            </w:pPr>
          </w:p>
        </w:tc>
        <w:tc>
          <w:tcPr>
            <w:tcW w:w="1991" w:type="dxa"/>
            <w:vAlign w:val="center"/>
          </w:tcPr>
          <w:p w14:paraId="4280DAFC" w14:textId="77777777" w:rsidR="00AE6E38" w:rsidRPr="00191634" w:rsidRDefault="00AE6E38" w:rsidP="00FF5B49">
            <w:pPr>
              <w:pStyle w:val="TableText"/>
            </w:pPr>
            <w:r w:rsidRPr="00191634">
              <w:t>Name</w:t>
            </w:r>
          </w:p>
        </w:tc>
        <w:tc>
          <w:tcPr>
            <w:tcW w:w="1991" w:type="dxa"/>
            <w:vAlign w:val="center"/>
          </w:tcPr>
          <w:p w14:paraId="645DD6F4" w14:textId="77777777" w:rsidR="00AE6E38" w:rsidRPr="00191634" w:rsidRDefault="00AE6E38" w:rsidP="00FF5B49">
            <w:pPr>
              <w:pStyle w:val="TableText"/>
            </w:pPr>
            <w:r w:rsidRPr="00191634">
              <w:t xml:space="preserve">Role </w:t>
            </w:r>
          </w:p>
        </w:tc>
        <w:tc>
          <w:tcPr>
            <w:tcW w:w="1991" w:type="dxa"/>
          </w:tcPr>
          <w:p w14:paraId="7F0C2D92" w14:textId="77777777" w:rsidR="00AE6E38" w:rsidRPr="00191634" w:rsidRDefault="00AE6E38" w:rsidP="00FF5B49">
            <w:pPr>
              <w:pStyle w:val="TableText"/>
            </w:pPr>
            <w:r>
              <w:t>Signature</w:t>
            </w:r>
          </w:p>
        </w:tc>
        <w:tc>
          <w:tcPr>
            <w:tcW w:w="1992" w:type="dxa"/>
            <w:vAlign w:val="center"/>
          </w:tcPr>
          <w:p w14:paraId="113D3F91" w14:textId="77777777" w:rsidR="00AE6E38" w:rsidRPr="00191634" w:rsidRDefault="00AE6E38" w:rsidP="00FF5B49">
            <w:pPr>
              <w:pStyle w:val="TableText"/>
            </w:pPr>
            <w:r>
              <w:t>Date</w:t>
            </w:r>
          </w:p>
        </w:tc>
      </w:tr>
      <w:tr w:rsidR="00AE6E38" w:rsidRPr="00191634" w14:paraId="0AB33B15" w14:textId="77777777" w:rsidTr="00FF5B49">
        <w:trPr>
          <w:trHeight w:val="20"/>
        </w:trPr>
        <w:tc>
          <w:tcPr>
            <w:tcW w:w="1929" w:type="dxa"/>
          </w:tcPr>
          <w:p w14:paraId="52B62B88" w14:textId="77777777" w:rsidR="00AE6E38" w:rsidRPr="00191634" w:rsidRDefault="00AE6E38" w:rsidP="00FF5B49">
            <w:pPr>
              <w:pStyle w:val="TableText"/>
            </w:pPr>
            <w:r w:rsidRPr="00191634">
              <w:t>Party 1</w:t>
            </w:r>
            <w:r>
              <w:t xml:space="preserve"> -</w:t>
            </w:r>
          </w:p>
        </w:tc>
        <w:tc>
          <w:tcPr>
            <w:tcW w:w="1991" w:type="dxa"/>
          </w:tcPr>
          <w:p w14:paraId="31B0E124" w14:textId="77777777" w:rsidR="00AE6E38" w:rsidRPr="00191634" w:rsidRDefault="00AE6E38" w:rsidP="00FF5B49">
            <w:pPr>
              <w:pStyle w:val="TableText"/>
            </w:pPr>
          </w:p>
        </w:tc>
        <w:tc>
          <w:tcPr>
            <w:tcW w:w="1991" w:type="dxa"/>
          </w:tcPr>
          <w:p w14:paraId="69B9E8A9" w14:textId="77777777" w:rsidR="00AE6E38" w:rsidRPr="00191634" w:rsidRDefault="00AE6E38" w:rsidP="00FF5B49">
            <w:pPr>
              <w:pStyle w:val="TableText"/>
            </w:pPr>
          </w:p>
        </w:tc>
        <w:tc>
          <w:tcPr>
            <w:tcW w:w="1991" w:type="dxa"/>
          </w:tcPr>
          <w:p w14:paraId="1C1F7948" w14:textId="77777777" w:rsidR="00AE6E38" w:rsidRPr="00191634" w:rsidRDefault="00AE6E38" w:rsidP="00FF5B49">
            <w:pPr>
              <w:pStyle w:val="TableText"/>
            </w:pPr>
          </w:p>
        </w:tc>
        <w:tc>
          <w:tcPr>
            <w:tcW w:w="1992" w:type="dxa"/>
          </w:tcPr>
          <w:p w14:paraId="7E7C897B" w14:textId="77777777" w:rsidR="00AE6E38" w:rsidRPr="00191634" w:rsidRDefault="00AE6E38" w:rsidP="00FF5B49">
            <w:pPr>
              <w:pStyle w:val="TableText"/>
            </w:pPr>
          </w:p>
        </w:tc>
      </w:tr>
      <w:tr w:rsidR="00AE6E38" w:rsidRPr="00191634" w14:paraId="1A98DB27" w14:textId="77777777" w:rsidTr="00FF5B49">
        <w:trPr>
          <w:trHeight w:val="20"/>
        </w:trPr>
        <w:tc>
          <w:tcPr>
            <w:tcW w:w="1929" w:type="dxa"/>
          </w:tcPr>
          <w:p w14:paraId="18EE50CD" w14:textId="77777777" w:rsidR="00AE6E38" w:rsidRPr="00191634" w:rsidRDefault="00AE6E38" w:rsidP="00FF5B49">
            <w:pPr>
              <w:pStyle w:val="TableText"/>
            </w:pPr>
            <w:r w:rsidRPr="00191634">
              <w:t>Party 2</w:t>
            </w:r>
            <w:r>
              <w:t xml:space="preserve"> -</w:t>
            </w:r>
          </w:p>
        </w:tc>
        <w:tc>
          <w:tcPr>
            <w:tcW w:w="1991" w:type="dxa"/>
          </w:tcPr>
          <w:p w14:paraId="099E767B" w14:textId="77777777" w:rsidR="00AE6E38" w:rsidRPr="00191634" w:rsidRDefault="00AE6E38" w:rsidP="00FF5B49">
            <w:pPr>
              <w:pStyle w:val="TableText"/>
            </w:pPr>
          </w:p>
        </w:tc>
        <w:tc>
          <w:tcPr>
            <w:tcW w:w="1991" w:type="dxa"/>
          </w:tcPr>
          <w:p w14:paraId="1F341464" w14:textId="77777777" w:rsidR="00AE6E38" w:rsidRPr="00191634" w:rsidRDefault="00AE6E38" w:rsidP="00FF5B49">
            <w:pPr>
              <w:pStyle w:val="TableText"/>
            </w:pPr>
          </w:p>
        </w:tc>
        <w:tc>
          <w:tcPr>
            <w:tcW w:w="1991" w:type="dxa"/>
          </w:tcPr>
          <w:p w14:paraId="2BFF13A6" w14:textId="77777777" w:rsidR="00AE6E38" w:rsidRPr="00191634" w:rsidRDefault="00AE6E38" w:rsidP="00FF5B49">
            <w:pPr>
              <w:pStyle w:val="TableText"/>
            </w:pPr>
          </w:p>
        </w:tc>
        <w:tc>
          <w:tcPr>
            <w:tcW w:w="1992" w:type="dxa"/>
          </w:tcPr>
          <w:p w14:paraId="73A1A08B" w14:textId="77777777" w:rsidR="00AE6E38" w:rsidRPr="00191634" w:rsidRDefault="00AE6E38" w:rsidP="00FF5B49">
            <w:pPr>
              <w:pStyle w:val="TableText"/>
            </w:pPr>
          </w:p>
        </w:tc>
      </w:tr>
      <w:tr w:rsidR="00AE6E38" w:rsidRPr="00191634" w14:paraId="75548F46" w14:textId="77777777" w:rsidTr="00FF5B49">
        <w:trPr>
          <w:trHeight w:val="20"/>
        </w:trPr>
        <w:tc>
          <w:tcPr>
            <w:tcW w:w="1929" w:type="dxa"/>
          </w:tcPr>
          <w:p w14:paraId="751C14F2" w14:textId="77777777" w:rsidR="00AE6E38" w:rsidRPr="00191634" w:rsidRDefault="00AE6E38" w:rsidP="00FF5B49">
            <w:pPr>
              <w:pStyle w:val="TableText"/>
            </w:pPr>
            <w:r w:rsidRPr="00191634">
              <w:t>Party 3</w:t>
            </w:r>
            <w:r>
              <w:t xml:space="preserve"> -</w:t>
            </w:r>
          </w:p>
        </w:tc>
        <w:tc>
          <w:tcPr>
            <w:tcW w:w="1991" w:type="dxa"/>
          </w:tcPr>
          <w:p w14:paraId="515C8771" w14:textId="77777777" w:rsidR="00AE6E38" w:rsidRPr="00191634" w:rsidRDefault="00AE6E38" w:rsidP="00FF5B49">
            <w:pPr>
              <w:pStyle w:val="TableText"/>
            </w:pPr>
          </w:p>
        </w:tc>
        <w:tc>
          <w:tcPr>
            <w:tcW w:w="1991" w:type="dxa"/>
          </w:tcPr>
          <w:p w14:paraId="65C4D9E2" w14:textId="77777777" w:rsidR="00AE6E38" w:rsidRPr="00191634" w:rsidRDefault="00AE6E38" w:rsidP="00FF5B49">
            <w:pPr>
              <w:pStyle w:val="TableText"/>
            </w:pPr>
          </w:p>
        </w:tc>
        <w:tc>
          <w:tcPr>
            <w:tcW w:w="1991" w:type="dxa"/>
          </w:tcPr>
          <w:p w14:paraId="4BE79927" w14:textId="77777777" w:rsidR="00AE6E38" w:rsidRPr="00191634" w:rsidRDefault="00AE6E38" w:rsidP="00FF5B49">
            <w:pPr>
              <w:pStyle w:val="TableText"/>
            </w:pPr>
          </w:p>
        </w:tc>
        <w:tc>
          <w:tcPr>
            <w:tcW w:w="1992" w:type="dxa"/>
          </w:tcPr>
          <w:p w14:paraId="0EEB5625" w14:textId="77777777" w:rsidR="00AE6E38" w:rsidRPr="00191634" w:rsidRDefault="00AE6E38" w:rsidP="00FF5B49">
            <w:pPr>
              <w:pStyle w:val="TableText"/>
            </w:pPr>
          </w:p>
        </w:tc>
      </w:tr>
    </w:tbl>
    <w:p w14:paraId="4A05DC12" w14:textId="77777777" w:rsidR="005260B9" w:rsidRPr="00191634" w:rsidRDefault="005260B9" w:rsidP="005260B9">
      <w:pPr>
        <w:pStyle w:val="Heading2"/>
        <w:numPr>
          <w:ilvl w:val="1"/>
          <w:numId w:val="16"/>
        </w:numPr>
      </w:pPr>
      <w:r w:rsidRPr="00191634">
        <w:t xml:space="preserve">Document Information </w:t>
      </w:r>
    </w:p>
    <w:tbl>
      <w:tblPr>
        <w:tblStyle w:val="TableGrid"/>
        <w:tblW w:w="9606" w:type="dxa"/>
        <w:tblLook w:val="04A0" w:firstRow="1" w:lastRow="0" w:firstColumn="1" w:lastColumn="0" w:noHBand="0" w:noVBand="1"/>
      </w:tblPr>
      <w:tblGrid>
        <w:gridCol w:w="2943"/>
        <w:gridCol w:w="6663"/>
      </w:tblGrid>
      <w:tr w:rsidR="005260B9" w:rsidRPr="00191634" w14:paraId="1ADC6015" w14:textId="77777777" w:rsidTr="0098225A">
        <w:trPr>
          <w:trHeight w:val="397"/>
        </w:trPr>
        <w:tc>
          <w:tcPr>
            <w:tcW w:w="2943" w:type="dxa"/>
          </w:tcPr>
          <w:p w14:paraId="5DD8759B" w14:textId="77777777" w:rsidR="005260B9" w:rsidRPr="00191634" w:rsidRDefault="005260B9" w:rsidP="0098225A">
            <w:pPr>
              <w:pStyle w:val="TableText"/>
            </w:pPr>
            <w:r w:rsidRPr="00191634">
              <w:t>Document owner:</w:t>
            </w:r>
          </w:p>
        </w:tc>
        <w:tc>
          <w:tcPr>
            <w:tcW w:w="6663" w:type="dxa"/>
          </w:tcPr>
          <w:p w14:paraId="542497B2" w14:textId="77777777" w:rsidR="005260B9" w:rsidRPr="00191634" w:rsidRDefault="005260B9" w:rsidP="0098225A">
            <w:pPr>
              <w:pStyle w:val="TableText"/>
            </w:pPr>
            <w:r w:rsidRPr="00191634">
              <w:t>Named point of contact for Party 1, detailed in section 9.</w:t>
            </w:r>
          </w:p>
        </w:tc>
      </w:tr>
      <w:tr w:rsidR="005260B9" w:rsidRPr="00191634" w14:paraId="3350F745" w14:textId="77777777" w:rsidTr="0098225A">
        <w:trPr>
          <w:trHeight w:val="397"/>
        </w:trPr>
        <w:tc>
          <w:tcPr>
            <w:tcW w:w="2943" w:type="dxa"/>
          </w:tcPr>
          <w:p w14:paraId="135EC5FF" w14:textId="77777777" w:rsidR="005260B9" w:rsidRPr="00191634" w:rsidRDefault="005260B9" w:rsidP="0098225A">
            <w:pPr>
              <w:pStyle w:val="TableText"/>
            </w:pPr>
            <w:r w:rsidRPr="00191634">
              <w:t xml:space="preserve">Next review date: </w:t>
            </w:r>
          </w:p>
        </w:tc>
        <w:tc>
          <w:tcPr>
            <w:tcW w:w="6663" w:type="dxa"/>
          </w:tcPr>
          <w:p w14:paraId="35DE7C3D" w14:textId="3B309B4A" w:rsidR="005260B9" w:rsidRPr="00191634" w:rsidRDefault="005260B9" w:rsidP="0098225A">
            <w:pPr>
              <w:pStyle w:val="TableText"/>
            </w:pPr>
          </w:p>
        </w:tc>
      </w:tr>
      <w:tr w:rsidR="005260B9" w:rsidRPr="00191634" w14:paraId="2C0C1AE9" w14:textId="77777777" w:rsidTr="0098225A">
        <w:trPr>
          <w:trHeight w:val="397"/>
        </w:trPr>
        <w:tc>
          <w:tcPr>
            <w:tcW w:w="2943" w:type="dxa"/>
          </w:tcPr>
          <w:p w14:paraId="442AD401" w14:textId="77777777" w:rsidR="005260B9" w:rsidRPr="00191634" w:rsidRDefault="005260B9" w:rsidP="0098225A">
            <w:pPr>
              <w:pStyle w:val="TableText"/>
            </w:pPr>
            <w:r w:rsidRPr="00191634">
              <w:t>Version:</w:t>
            </w:r>
          </w:p>
        </w:tc>
        <w:tc>
          <w:tcPr>
            <w:tcW w:w="6663" w:type="dxa"/>
          </w:tcPr>
          <w:p w14:paraId="3A13FE35" w14:textId="52C237B4" w:rsidR="005260B9" w:rsidRPr="00191634" w:rsidRDefault="005260B9" w:rsidP="0098225A">
            <w:pPr>
              <w:pStyle w:val="TableText"/>
            </w:pPr>
          </w:p>
        </w:tc>
      </w:tr>
      <w:tr w:rsidR="005260B9" w:rsidRPr="00191634" w14:paraId="06995BA3" w14:textId="77777777" w:rsidTr="0098225A">
        <w:trPr>
          <w:trHeight w:val="397"/>
        </w:trPr>
        <w:tc>
          <w:tcPr>
            <w:tcW w:w="2943" w:type="dxa"/>
          </w:tcPr>
          <w:p w14:paraId="67712672" w14:textId="77777777" w:rsidR="005260B9" w:rsidRPr="00191634" w:rsidRDefault="005260B9" w:rsidP="0098225A">
            <w:pPr>
              <w:pStyle w:val="TableText"/>
            </w:pPr>
            <w:r w:rsidRPr="00191634">
              <w:t>Summary of changes:</w:t>
            </w:r>
          </w:p>
        </w:tc>
        <w:tc>
          <w:tcPr>
            <w:tcW w:w="6663" w:type="dxa"/>
          </w:tcPr>
          <w:p w14:paraId="7ADCE064" w14:textId="7FDFDBB7" w:rsidR="005260B9" w:rsidRPr="00191634" w:rsidRDefault="005260B9" w:rsidP="0098225A">
            <w:pPr>
              <w:pStyle w:val="TableText"/>
              <w:rPr>
                <w:b/>
              </w:rPr>
            </w:pPr>
          </w:p>
        </w:tc>
      </w:tr>
    </w:tbl>
    <w:p w14:paraId="445D20B4" w14:textId="77777777" w:rsidR="005260B9" w:rsidRPr="00191634" w:rsidRDefault="005260B9" w:rsidP="005260B9"/>
    <w:p w14:paraId="43BC84D7" w14:textId="77777777" w:rsidR="005260B9" w:rsidRPr="00191634" w:rsidRDefault="005260B9" w:rsidP="005260B9">
      <w:pPr>
        <w:pStyle w:val="Clause"/>
        <w:numPr>
          <w:ilvl w:val="2"/>
          <w:numId w:val="16"/>
        </w:numPr>
      </w:pPr>
      <w:r w:rsidRPr="00191634">
        <w:br w:type="page"/>
      </w:r>
    </w:p>
    <w:p w14:paraId="3240F1B7" w14:textId="77777777" w:rsidR="005260B9" w:rsidRDefault="005260B9" w:rsidP="005260B9">
      <w:pPr>
        <w:pStyle w:val="Heading1"/>
        <w:numPr>
          <w:ilvl w:val="0"/>
          <w:numId w:val="16"/>
        </w:numPr>
      </w:pPr>
      <w:r w:rsidRPr="00191634">
        <w:lastRenderedPageBreak/>
        <w:t>Appendix – Additional information on Shared Personal Data and agreed Processing Restrictions</w:t>
      </w:r>
    </w:p>
    <w:p w14:paraId="1DFC88CD" w14:textId="77777777" w:rsidR="005260B9" w:rsidRDefault="005260B9" w:rsidP="00FB40F3">
      <w:pPr>
        <w:pStyle w:val="Heading1"/>
      </w:pPr>
    </w:p>
    <w:p w14:paraId="4192C166" w14:textId="77777777" w:rsidR="005260B9" w:rsidRDefault="005260B9" w:rsidP="00FB40F3">
      <w:pPr>
        <w:pStyle w:val="Heading1"/>
      </w:pPr>
    </w:p>
    <w:p w14:paraId="4BCAB437" w14:textId="77777777" w:rsidR="005260B9" w:rsidRDefault="005260B9" w:rsidP="00FB40F3">
      <w:pPr>
        <w:pStyle w:val="Heading1"/>
      </w:pPr>
    </w:p>
    <w:p w14:paraId="258F8D1D" w14:textId="77777777" w:rsidR="005260B9" w:rsidRDefault="005260B9" w:rsidP="00FB40F3">
      <w:pPr>
        <w:pStyle w:val="Heading1"/>
      </w:pPr>
    </w:p>
    <w:p w14:paraId="249BACD7" w14:textId="77777777" w:rsidR="005260B9" w:rsidRDefault="005260B9" w:rsidP="00FB40F3">
      <w:pPr>
        <w:pStyle w:val="Heading1"/>
      </w:pPr>
    </w:p>
    <w:p w14:paraId="28DC8AA7" w14:textId="77777777" w:rsidR="005260B9" w:rsidRDefault="005260B9" w:rsidP="00FB40F3">
      <w:pPr>
        <w:pStyle w:val="Heading1"/>
      </w:pPr>
    </w:p>
    <w:p w14:paraId="70252C54" w14:textId="77777777" w:rsidR="005260B9" w:rsidRDefault="005260B9" w:rsidP="00FB40F3">
      <w:pPr>
        <w:pStyle w:val="Heading1"/>
      </w:pPr>
    </w:p>
    <w:p w14:paraId="0E755BDC" w14:textId="77777777" w:rsidR="005260B9" w:rsidRDefault="005260B9" w:rsidP="00FB40F3">
      <w:pPr>
        <w:pStyle w:val="Heading1"/>
      </w:pPr>
    </w:p>
    <w:p w14:paraId="24129C1E" w14:textId="77777777" w:rsidR="005260B9" w:rsidRDefault="005260B9" w:rsidP="00FB40F3">
      <w:pPr>
        <w:pStyle w:val="Heading1"/>
      </w:pPr>
    </w:p>
    <w:p w14:paraId="75FE4776" w14:textId="77777777" w:rsidR="005260B9" w:rsidRDefault="005260B9" w:rsidP="00FB40F3">
      <w:pPr>
        <w:pStyle w:val="Heading1"/>
      </w:pPr>
    </w:p>
    <w:p w14:paraId="58B63383" w14:textId="77777777" w:rsidR="005260B9" w:rsidRDefault="005260B9" w:rsidP="00FB40F3">
      <w:pPr>
        <w:pStyle w:val="Heading1"/>
      </w:pPr>
    </w:p>
    <w:p w14:paraId="02734A05" w14:textId="77777777" w:rsidR="005260B9" w:rsidRDefault="005260B9" w:rsidP="00FB40F3">
      <w:pPr>
        <w:pStyle w:val="Heading1"/>
      </w:pPr>
    </w:p>
    <w:p w14:paraId="306FF630" w14:textId="77777777" w:rsidR="005260B9" w:rsidRDefault="005260B9" w:rsidP="00FB40F3">
      <w:pPr>
        <w:pStyle w:val="Heading1"/>
      </w:pPr>
    </w:p>
    <w:p w14:paraId="20FE4EB7" w14:textId="77777777" w:rsidR="005260B9" w:rsidRDefault="005260B9" w:rsidP="00FB40F3">
      <w:pPr>
        <w:pStyle w:val="Heading1"/>
      </w:pPr>
    </w:p>
    <w:p w14:paraId="48D93012" w14:textId="77777777" w:rsidR="005260B9" w:rsidRDefault="005260B9" w:rsidP="00FB40F3">
      <w:pPr>
        <w:pStyle w:val="Heading1"/>
      </w:pPr>
    </w:p>
    <w:p w14:paraId="17E1F989" w14:textId="77777777" w:rsidR="005260B9" w:rsidRDefault="005260B9" w:rsidP="00FB40F3">
      <w:pPr>
        <w:pStyle w:val="Heading1"/>
      </w:pPr>
    </w:p>
    <w:p w14:paraId="43CCD44C" w14:textId="77777777" w:rsidR="005260B9" w:rsidRDefault="005260B9" w:rsidP="00FB40F3">
      <w:pPr>
        <w:pStyle w:val="Heading1"/>
      </w:pPr>
    </w:p>
    <w:p w14:paraId="3C6AD978" w14:textId="77777777" w:rsidR="005260B9" w:rsidRDefault="005260B9" w:rsidP="00FB40F3">
      <w:pPr>
        <w:pStyle w:val="Heading1"/>
      </w:pPr>
    </w:p>
    <w:p w14:paraId="32222FF6" w14:textId="77777777" w:rsidR="005260B9" w:rsidRDefault="005260B9" w:rsidP="00FB40F3">
      <w:pPr>
        <w:pStyle w:val="Heading1"/>
      </w:pPr>
    </w:p>
    <w:p w14:paraId="074E2B23" w14:textId="77777777" w:rsidR="005260B9" w:rsidRDefault="005260B9" w:rsidP="00FB40F3">
      <w:pPr>
        <w:pStyle w:val="Heading1"/>
      </w:pPr>
    </w:p>
    <w:p w14:paraId="07B8BCCC" w14:textId="77777777" w:rsidR="005260B9" w:rsidRDefault="005260B9" w:rsidP="00FB40F3">
      <w:pPr>
        <w:pStyle w:val="Heading1"/>
      </w:pPr>
    </w:p>
    <w:p w14:paraId="1A86F4F9" w14:textId="77777777" w:rsidR="005260B9" w:rsidRDefault="005260B9" w:rsidP="00FB40F3">
      <w:pPr>
        <w:pStyle w:val="Heading1"/>
      </w:pPr>
    </w:p>
    <w:p w14:paraId="0BB7F6CB" w14:textId="77777777" w:rsidR="005260B9" w:rsidRDefault="005260B9" w:rsidP="00FB40F3">
      <w:pPr>
        <w:pStyle w:val="Heading1"/>
      </w:pPr>
    </w:p>
    <w:p w14:paraId="3CE4EBB5" w14:textId="77777777" w:rsidR="005260B9" w:rsidRDefault="005260B9" w:rsidP="00FB40F3">
      <w:pPr>
        <w:pStyle w:val="Heading1"/>
      </w:pPr>
    </w:p>
    <w:p w14:paraId="370819DC" w14:textId="77777777" w:rsidR="005260B9" w:rsidRDefault="005260B9" w:rsidP="00FB40F3">
      <w:pPr>
        <w:pStyle w:val="Heading1"/>
      </w:pPr>
    </w:p>
    <w:p w14:paraId="706D2E54" w14:textId="77777777" w:rsidR="005260B9" w:rsidRDefault="005260B9" w:rsidP="00FB40F3">
      <w:pPr>
        <w:pStyle w:val="Heading1"/>
      </w:pPr>
    </w:p>
    <w:p w14:paraId="1095FE1C" w14:textId="77777777" w:rsidR="005260B9" w:rsidRDefault="005260B9" w:rsidP="00FB40F3">
      <w:pPr>
        <w:pStyle w:val="Heading1"/>
      </w:pPr>
    </w:p>
    <w:p w14:paraId="7E6F210C" w14:textId="77777777" w:rsidR="005260B9" w:rsidRDefault="005260B9" w:rsidP="00FB40F3">
      <w:pPr>
        <w:pStyle w:val="Heading1"/>
      </w:pPr>
    </w:p>
    <w:p w14:paraId="55C2FE0E" w14:textId="32F50FE2" w:rsidR="001C2C70" w:rsidRDefault="001C2C70" w:rsidP="00FB40F3">
      <w:pPr>
        <w:pStyle w:val="Heading1"/>
      </w:pPr>
      <w:r>
        <w:lastRenderedPageBreak/>
        <w:t>Schedule 2 – Appropriate Organisational and technical security measures</w:t>
      </w:r>
    </w:p>
    <w:p w14:paraId="34994883" w14:textId="4F1B141E" w:rsidR="001C2C70" w:rsidRDefault="001C2C70" w:rsidP="00FB40F3">
      <w:pPr>
        <w:pStyle w:val="Clause"/>
        <w:rPr>
          <w:lang w:eastAsia="en-US"/>
        </w:rPr>
      </w:pPr>
      <w:r>
        <w:rPr>
          <w:lang w:eastAsia="en-US"/>
        </w:rPr>
        <w:t xml:space="preserve">The </w:t>
      </w:r>
      <w:r w:rsidR="00434796">
        <w:rPr>
          <w:lang w:eastAsia="en-US"/>
        </w:rPr>
        <w:t>Parties</w:t>
      </w:r>
      <w:r>
        <w:rPr>
          <w:lang w:eastAsia="en-US"/>
        </w:rPr>
        <w:t xml:space="preserve"> shall implement and maintain security standards, facilities, </w:t>
      </w:r>
      <w:r w:rsidR="00F932A2">
        <w:rPr>
          <w:lang w:eastAsia="en-US"/>
        </w:rPr>
        <w:t>controls,</w:t>
      </w:r>
      <w:r>
        <w:rPr>
          <w:lang w:eastAsia="en-US"/>
        </w:rPr>
        <w:t xml:space="preserve"> and procedures appropriate to the nature of the Shared Personal Data held by it and the harm that would be caused by its loss or disclosure including a comprehensive and up-to-date data protection policy. The </w:t>
      </w:r>
      <w:r w:rsidR="00434796">
        <w:rPr>
          <w:lang w:eastAsia="en-US"/>
        </w:rPr>
        <w:t>Parties</w:t>
      </w:r>
      <w:r>
        <w:rPr>
          <w:lang w:eastAsia="en-US"/>
        </w:rPr>
        <w:t xml:space="preserve"> shall ensure that all their personnel who have access to the Shared Personal Data shall comply with the obligations upon them contained in the data protection policy.</w:t>
      </w:r>
    </w:p>
    <w:p w14:paraId="777F92DE" w14:textId="0193FA7A" w:rsidR="001C2C70" w:rsidRDefault="001C2C70" w:rsidP="00FB40F3">
      <w:pPr>
        <w:pStyle w:val="Clause"/>
        <w:rPr>
          <w:lang w:eastAsia="en-US"/>
        </w:rPr>
      </w:pPr>
      <w:r>
        <w:rPr>
          <w:lang w:eastAsia="en-US"/>
        </w:rPr>
        <w:t xml:space="preserve">Each </w:t>
      </w:r>
      <w:r w:rsidR="00434796">
        <w:rPr>
          <w:lang w:eastAsia="en-US"/>
        </w:rPr>
        <w:t>Party</w:t>
      </w:r>
      <w:r>
        <w:rPr>
          <w:lang w:eastAsia="en-US"/>
        </w:rPr>
        <w:t xml:space="preserve"> shall ensure:</w:t>
      </w:r>
    </w:p>
    <w:p w14:paraId="74324136" w14:textId="40D507D9" w:rsidR="001C2C70" w:rsidRDefault="001C2C70" w:rsidP="00FB40F3">
      <w:pPr>
        <w:pStyle w:val="Bullets"/>
      </w:pPr>
      <w:r>
        <w:t xml:space="preserve">that it has properly configured access rights for its personnel including a well-defined joiners and leavers process to ensure access rights to the Shared Personal Data are properly </w:t>
      </w:r>
      <w:proofErr w:type="gramStart"/>
      <w:r>
        <w:t>managed;</w:t>
      </w:r>
      <w:proofErr w:type="gramEnd"/>
    </w:p>
    <w:p w14:paraId="46FCAA7B" w14:textId="67537676" w:rsidR="001C2C70" w:rsidRDefault="001C2C70" w:rsidP="00FB40F3">
      <w:pPr>
        <w:pStyle w:val="Bullets"/>
      </w:pPr>
      <w:r>
        <w:t xml:space="preserve">that it has proper controls in place to make sure that complex alphanumeric passwords are required for access to the Shared Personal Data and that training is provided in relation to the need to keep such passwords </w:t>
      </w:r>
      <w:proofErr w:type="gramStart"/>
      <w:r>
        <w:t>secure;</w:t>
      </w:r>
      <w:proofErr w:type="gramEnd"/>
    </w:p>
    <w:p w14:paraId="6624FFE1" w14:textId="3E9F026B" w:rsidR="001C2C70" w:rsidRDefault="001C2C70" w:rsidP="00FB40F3">
      <w:pPr>
        <w:pStyle w:val="Bullets"/>
      </w:pPr>
      <w:r>
        <w:t>it has in place procedures to identify wrongful use of Shared Personal Data, including the monitoring of wrongful access to Shar</w:t>
      </w:r>
      <w:r w:rsidR="00596538">
        <w:t>e</w:t>
      </w:r>
      <w:r>
        <w:t xml:space="preserve">d Personal </w:t>
      </w:r>
      <w:proofErr w:type="gramStart"/>
      <w:r>
        <w:t>Data;</w:t>
      </w:r>
      <w:proofErr w:type="gramEnd"/>
    </w:p>
    <w:p w14:paraId="34795AB8" w14:textId="2B62E98C" w:rsidR="001C2C70" w:rsidRDefault="001C2C70" w:rsidP="00FB40F3">
      <w:pPr>
        <w:pStyle w:val="Bullets"/>
      </w:pPr>
      <w:r>
        <w:t xml:space="preserve">suitable and effective authentication processes are established and used to protect Shared Personal </w:t>
      </w:r>
      <w:proofErr w:type="gramStart"/>
      <w:r>
        <w:t>Data;</w:t>
      </w:r>
      <w:proofErr w:type="gramEnd"/>
    </w:p>
    <w:p w14:paraId="2E9A019D" w14:textId="519EBBD3" w:rsidR="001C2C70" w:rsidRDefault="001C2C70" w:rsidP="00FB40F3">
      <w:pPr>
        <w:pStyle w:val="Bullets"/>
      </w:pPr>
      <w:r>
        <w:t xml:space="preserve">Shared Personal Data is backed up on a regular basis and that all back up data is subject to such vigorous security procedures as are necessary </w:t>
      </w:r>
      <w:proofErr w:type="gramStart"/>
      <w:r>
        <w:t>in order</w:t>
      </w:r>
      <w:r w:rsidR="00FB40F3">
        <w:t xml:space="preserve"> </w:t>
      </w:r>
      <w:r>
        <w:t>to</w:t>
      </w:r>
      <w:proofErr w:type="gramEnd"/>
      <w:r>
        <w:t xml:space="preserve"> protect data integrity, such security measures being commensurate to the nature of the data. The </w:t>
      </w:r>
      <w:r w:rsidR="00434796">
        <w:t>Parties</w:t>
      </w:r>
      <w:r>
        <w:t xml:space="preserve"> shall take particular care when transporting backup data and other personal data and shall ensure such backup data and other personal data is transported in a safe and secure </w:t>
      </w:r>
      <w:proofErr w:type="gramStart"/>
      <w:r>
        <w:t>manner;</w:t>
      </w:r>
      <w:proofErr w:type="gramEnd"/>
    </w:p>
    <w:p w14:paraId="653CA36C" w14:textId="20613CC3" w:rsidR="001C2C70" w:rsidRDefault="001C2C70" w:rsidP="00FB40F3">
      <w:pPr>
        <w:pStyle w:val="Bullets"/>
      </w:pPr>
      <w:r>
        <w:t xml:space="preserve">Shared Personal Data transferred electronically is </w:t>
      </w:r>
      <w:proofErr w:type="gramStart"/>
      <w:r>
        <w:t>encrypted;</w:t>
      </w:r>
      <w:proofErr w:type="gramEnd"/>
    </w:p>
    <w:p w14:paraId="625659B2" w14:textId="5DD1E358" w:rsidR="001C2C70" w:rsidRDefault="001C2C70" w:rsidP="00FB40F3">
      <w:pPr>
        <w:pStyle w:val="Bullets"/>
      </w:pPr>
      <w:r>
        <w:t xml:space="preserve">information stored on laptops or other portable media is encrypted and that the </w:t>
      </w:r>
      <w:r w:rsidR="00434796">
        <w:t>Parties</w:t>
      </w:r>
      <w:r>
        <w:t xml:space="preserve"> maintains an accurate, up to date asset register, including all such portable media used to process the Shared Personal </w:t>
      </w:r>
      <w:proofErr w:type="gramStart"/>
      <w:r>
        <w:t>Data;</w:t>
      </w:r>
      <w:proofErr w:type="gramEnd"/>
    </w:p>
    <w:p w14:paraId="25BBFE59" w14:textId="2AA565A9" w:rsidR="001C2C70" w:rsidRDefault="001C2C70" w:rsidP="00FB40F3">
      <w:pPr>
        <w:pStyle w:val="Bullets"/>
      </w:pPr>
      <w:r>
        <w:t xml:space="preserve">that suitable physical security measures are established commensurate to the harm that could result from the unlawful disclosure of the Shared Personal Data. Such physical security measures shall be as identified in the </w:t>
      </w:r>
      <w:r w:rsidR="00434796">
        <w:t>Parties</w:t>
      </w:r>
      <w:r>
        <w:t xml:space="preserve"> data protection </w:t>
      </w:r>
      <w:proofErr w:type="gramStart"/>
      <w:r>
        <w:t>policy;</w:t>
      </w:r>
      <w:proofErr w:type="gramEnd"/>
    </w:p>
    <w:p w14:paraId="38195966" w14:textId="13F45424" w:rsidR="001C2C70" w:rsidRDefault="001C2C70" w:rsidP="00FB40F3">
      <w:pPr>
        <w:pStyle w:val="Bullets"/>
      </w:pPr>
      <w:r>
        <w:t xml:space="preserve">without prejudice to the </w:t>
      </w:r>
      <w:r w:rsidR="00434796">
        <w:t>Parties</w:t>
      </w:r>
      <w:r>
        <w:t xml:space="preserve"> obligations in relation to the disposal of Shared Personal Data, all Shared Personal Data which is disposed of must be disposed of pursuant to the </w:t>
      </w:r>
      <w:r w:rsidR="00434796">
        <w:t>Parties</w:t>
      </w:r>
      <w:r>
        <w:t xml:space="preserve"> policy for the disposal of Personal Data identified in the data protection policy, including the disposal of assets containing Shared Personal Data, a copy of which policy shall be provided, on request, to the other </w:t>
      </w:r>
      <w:r w:rsidR="00434796">
        <w:t>Party</w:t>
      </w:r>
      <w:r>
        <w:t>; and</w:t>
      </w:r>
    </w:p>
    <w:p w14:paraId="5AD01176" w14:textId="2EC9249F" w:rsidR="00F932A2" w:rsidRDefault="001C2C70" w:rsidP="00FB40F3">
      <w:pPr>
        <w:pStyle w:val="Bullets"/>
      </w:pPr>
      <w:r>
        <w:t xml:space="preserve">the </w:t>
      </w:r>
      <w:r w:rsidR="00434796">
        <w:t>Parties</w:t>
      </w:r>
      <w:r>
        <w:t xml:space="preserve"> establishes and maintains adequate data security compliance policies and audits its use of Personal Data in compliance with its data security policies on a regular basis and in any event annually.</w:t>
      </w:r>
    </w:p>
    <w:p w14:paraId="48D62823" w14:textId="77777777" w:rsidR="00F932A2" w:rsidRDefault="00F932A2">
      <w:pPr>
        <w:spacing w:after="200" w:line="276" w:lineRule="auto"/>
        <w:jc w:val="left"/>
        <w:rPr>
          <w:lang w:eastAsia="en-US"/>
        </w:rPr>
      </w:pPr>
      <w:r>
        <w:br w:type="page"/>
      </w:r>
    </w:p>
    <w:p w14:paraId="1DCE7E9B" w14:textId="77777777" w:rsidR="00F932A2" w:rsidRDefault="00F932A2" w:rsidP="00F932A2">
      <w:pPr>
        <w:pStyle w:val="Heading1"/>
      </w:pPr>
      <w:r>
        <w:lastRenderedPageBreak/>
        <w:t>SCHEDULE 3 – DEFINITIONS AND OFFENCES</w:t>
      </w:r>
    </w:p>
    <w:p w14:paraId="15DBB5A9" w14:textId="77777777" w:rsidR="00F932A2" w:rsidRDefault="00F932A2" w:rsidP="00F932A2">
      <w:pPr>
        <w:pStyle w:val="Heading2"/>
      </w:pPr>
      <w:r>
        <w:t>Personal data</w:t>
      </w:r>
    </w:p>
    <w:p w14:paraId="28D4D476" w14:textId="3C3FBD0D" w:rsidR="00F932A2" w:rsidRDefault="00F932A2" w:rsidP="00F932A2">
      <w:pPr>
        <w:pStyle w:val="Clause"/>
      </w:pPr>
      <w:r>
        <w:t>Is any information relating to an identified or identifiable natural person (‘</w:t>
      </w:r>
      <w:r w:rsidR="00434796">
        <w:t>Data Subject</w:t>
      </w:r>
      <w:r>
        <w: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7E771F6" w14:textId="77777777" w:rsidR="00F932A2" w:rsidRDefault="00F932A2" w:rsidP="00F932A2">
      <w:pPr>
        <w:pStyle w:val="Heading2"/>
      </w:pPr>
      <w:r>
        <w:t>Special Categories of Personal Data</w:t>
      </w:r>
    </w:p>
    <w:p w14:paraId="550B9B98" w14:textId="77777777" w:rsidR="00F932A2" w:rsidRDefault="00F932A2" w:rsidP="00F932A2">
      <w:pPr>
        <w:pStyle w:val="Bullets"/>
      </w:pPr>
      <w:r>
        <w:t>• race</w:t>
      </w:r>
    </w:p>
    <w:p w14:paraId="395CFD05" w14:textId="77777777" w:rsidR="00F932A2" w:rsidRDefault="00F932A2" w:rsidP="00F932A2">
      <w:pPr>
        <w:pStyle w:val="Bullets"/>
      </w:pPr>
      <w:r>
        <w:t>• ethnic origin</w:t>
      </w:r>
    </w:p>
    <w:p w14:paraId="3F638ABF" w14:textId="77777777" w:rsidR="00F932A2" w:rsidRDefault="00F932A2" w:rsidP="00F932A2">
      <w:pPr>
        <w:pStyle w:val="Bullets"/>
      </w:pPr>
      <w:r>
        <w:t>• politics</w:t>
      </w:r>
    </w:p>
    <w:p w14:paraId="68CEAABC" w14:textId="77777777" w:rsidR="00F932A2" w:rsidRDefault="00F932A2" w:rsidP="00F932A2">
      <w:pPr>
        <w:pStyle w:val="Bullets"/>
      </w:pPr>
      <w:r>
        <w:t>• religion</w:t>
      </w:r>
    </w:p>
    <w:p w14:paraId="5B78D6F8" w14:textId="77777777" w:rsidR="00F932A2" w:rsidRDefault="00F932A2" w:rsidP="00F932A2">
      <w:pPr>
        <w:pStyle w:val="Bullets"/>
      </w:pPr>
      <w:r>
        <w:t>• trade union membership</w:t>
      </w:r>
    </w:p>
    <w:p w14:paraId="45DBDEC8" w14:textId="77777777" w:rsidR="00F932A2" w:rsidRDefault="00F932A2" w:rsidP="00F932A2">
      <w:pPr>
        <w:pStyle w:val="Bullets"/>
      </w:pPr>
      <w:r>
        <w:t>• genetics</w:t>
      </w:r>
    </w:p>
    <w:p w14:paraId="1EFE6DB5" w14:textId="77777777" w:rsidR="00F932A2" w:rsidRDefault="00F932A2" w:rsidP="00F932A2">
      <w:pPr>
        <w:pStyle w:val="Bullets"/>
      </w:pPr>
      <w:r>
        <w:t>• biometrics (when used for ID purposes)</w:t>
      </w:r>
    </w:p>
    <w:p w14:paraId="21C3846F" w14:textId="77777777" w:rsidR="00F932A2" w:rsidRDefault="00F932A2" w:rsidP="00F932A2">
      <w:pPr>
        <w:pStyle w:val="Bullets"/>
      </w:pPr>
      <w:r>
        <w:t>• health</w:t>
      </w:r>
    </w:p>
    <w:p w14:paraId="64BC5B55" w14:textId="77777777" w:rsidR="00F932A2" w:rsidRDefault="00F932A2" w:rsidP="00F932A2">
      <w:pPr>
        <w:pStyle w:val="Bullets"/>
      </w:pPr>
      <w:r>
        <w:t>• sex life</w:t>
      </w:r>
    </w:p>
    <w:p w14:paraId="2908B0E2" w14:textId="77777777" w:rsidR="00F932A2" w:rsidRDefault="00F932A2" w:rsidP="00F932A2">
      <w:pPr>
        <w:pStyle w:val="Bullets"/>
      </w:pPr>
      <w:r>
        <w:t>• sexual orientation</w:t>
      </w:r>
    </w:p>
    <w:p w14:paraId="4D76A23F" w14:textId="6C27E414" w:rsidR="00F932A2" w:rsidRDefault="00F932A2" w:rsidP="00F932A2">
      <w:pPr>
        <w:pStyle w:val="Clause"/>
      </w:pPr>
      <w:r>
        <w:t xml:space="preserve">The terms </w:t>
      </w:r>
      <w:r w:rsidR="00434796">
        <w:t>Controller</w:t>
      </w:r>
      <w:r>
        <w:t xml:space="preserve">, </w:t>
      </w:r>
      <w:r w:rsidR="00434796">
        <w:t>Processor</w:t>
      </w:r>
      <w:r>
        <w:t xml:space="preserve">, Processing, </w:t>
      </w:r>
      <w:r w:rsidR="00434796">
        <w:t>Data Subject</w:t>
      </w:r>
      <w:r>
        <w:t>,</w:t>
      </w:r>
      <w:r w:rsidR="0042325D">
        <w:t xml:space="preserve"> Joint Controller</w:t>
      </w:r>
      <w:r>
        <w:t xml:space="preserve"> and Personal Data Breach have the meaning set out in the UK GDPR and the Data Protection Act 2018</w:t>
      </w:r>
    </w:p>
    <w:p w14:paraId="5B3B240D" w14:textId="77777777" w:rsidR="00F932A2" w:rsidRDefault="00F932A2" w:rsidP="00F932A2">
      <w:pPr>
        <w:pStyle w:val="Heading2"/>
      </w:pPr>
      <w:r>
        <w:t>Offences under the DPA 2018</w:t>
      </w:r>
    </w:p>
    <w:p w14:paraId="06E2E669" w14:textId="77777777" w:rsidR="00F932A2" w:rsidRDefault="00F932A2" w:rsidP="00F932A2">
      <w:pPr>
        <w:pStyle w:val="Clause"/>
      </w:pPr>
      <w:r>
        <w:t>Section 119: Obstructing the Commissioner in inspecting personal data to discharge an international obligation</w:t>
      </w:r>
    </w:p>
    <w:p w14:paraId="49ADFBE6" w14:textId="0A73DFB4" w:rsidR="00F932A2" w:rsidRDefault="00F932A2" w:rsidP="00F932A2">
      <w:pPr>
        <w:pStyle w:val="Bullets"/>
      </w:pPr>
      <w:r>
        <w:t xml:space="preserve">The Commissioner may inspect </w:t>
      </w:r>
      <w:r w:rsidR="006A4E30">
        <w:t>P</w:t>
      </w:r>
      <w:r>
        <w:t xml:space="preserve">ersonal </w:t>
      </w:r>
      <w:proofErr w:type="spellStart"/>
      <w:r w:rsidR="006A4E30">
        <w:t>D</w:t>
      </w:r>
      <w:r>
        <w:t>data</w:t>
      </w:r>
      <w:proofErr w:type="spellEnd"/>
      <w:r>
        <w:t xml:space="preserve"> where the inspection is necessary </w:t>
      </w:r>
      <w:proofErr w:type="gramStart"/>
      <w:r>
        <w:t>in order to</w:t>
      </w:r>
      <w:proofErr w:type="gramEnd"/>
      <w:r>
        <w:t xml:space="preserve"> discharge an international obligation of the United Kingdom, subject to the restriction in subsection (2). Section 119 (6) states that it is an offence (a)intentionally to obstruct a person exercising the power under subsection (1), or (b)to fail without reasonable excuse to give a person exercising that power any assistance the person may reasonably require.</w:t>
      </w:r>
    </w:p>
    <w:p w14:paraId="32A57169" w14:textId="77777777" w:rsidR="00F932A2" w:rsidRDefault="00F932A2" w:rsidP="00F932A2">
      <w:pPr>
        <w:pStyle w:val="Clause"/>
      </w:pPr>
      <w:r>
        <w:t xml:space="preserve">Section 132: Prohibition placed upon the Commissioner, or the Commissioner’s staff against disclosing information obtained </w:t>
      </w:r>
      <w:proofErr w:type="gramStart"/>
      <w:r>
        <w:t>in the course of</w:t>
      </w:r>
      <w:proofErr w:type="gramEnd"/>
      <w:r>
        <w:t xml:space="preserve"> their role (which is not available to the public</w:t>
      </w:r>
    </w:p>
    <w:p w14:paraId="0FFC8E3B" w14:textId="77777777" w:rsidR="00F932A2" w:rsidRDefault="00F932A2" w:rsidP="00F932A2">
      <w:pPr>
        <w:pStyle w:val="Bullets"/>
      </w:pPr>
      <w:r>
        <w:t xml:space="preserve">By former or current ICO staff who disclose data obtained </w:t>
      </w:r>
      <w:proofErr w:type="gramStart"/>
      <w:r>
        <w:t>during the course of</w:t>
      </w:r>
      <w:proofErr w:type="gramEnd"/>
      <w:r>
        <w:t xml:space="preserve"> their duties, it is an offence for a person knowingly or recklessly to disclose information.</w:t>
      </w:r>
    </w:p>
    <w:p w14:paraId="66E9330A" w14:textId="77777777" w:rsidR="00F932A2" w:rsidRDefault="00F932A2" w:rsidP="00F932A2">
      <w:pPr>
        <w:pStyle w:val="Clause"/>
      </w:pPr>
      <w:r>
        <w:t>Section 144: False statement made in response to an information notice</w:t>
      </w:r>
    </w:p>
    <w:p w14:paraId="1B57FD06" w14:textId="77777777" w:rsidR="00F932A2" w:rsidRDefault="00F932A2" w:rsidP="00F932A2">
      <w:pPr>
        <w:pStyle w:val="Bullets"/>
      </w:pPr>
      <w:r>
        <w:lastRenderedPageBreak/>
        <w:t>It is an offence for a person, in response to information notice from the Commissioner, to make or recklessly make, a statement which they know to be false in a material respect.</w:t>
      </w:r>
    </w:p>
    <w:p w14:paraId="1992825C" w14:textId="77777777" w:rsidR="00F932A2" w:rsidRDefault="00F932A2" w:rsidP="00F932A2">
      <w:pPr>
        <w:pStyle w:val="Clause"/>
      </w:pPr>
      <w:r>
        <w:t>Section 148: Destroying or falsifying information and documents etc</w:t>
      </w:r>
    </w:p>
    <w:p w14:paraId="249FB939" w14:textId="7F8E1CF1" w:rsidR="00F932A2" w:rsidRDefault="00F932A2" w:rsidP="00F932A2">
      <w:pPr>
        <w:pStyle w:val="Bullets"/>
      </w:pPr>
      <w:r>
        <w:t>Under Section 148 (2) (a) it is an offence for a person to destroy or otherwise dispose of, conceal, block or (where relevant) falsify all or part of the information, document, equipment, or material. Section 148 (2) (b) makes to cause or permit the actions set pout in the previous subsection.</w:t>
      </w:r>
    </w:p>
    <w:p w14:paraId="1E918338" w14:textId="77777777" w:rsidR="00F932A2" w:rsidRDefault="00F932A2" w:rsidP="00F932A2">
      <w:pPr>
        <w:pStyle w:val="Clause"/>
      </w:pPr>
      <w:r>
        <w:t>Section 170: Unlawful obtaining etc of personal data</w:t>
      </w:r>
    </w:p>
    <w:p w14:paraId="4F63C812" w14:textId="1A59AF45" w:rsidR="00F932A2" w:rsidRDefault="00F932A2" w:rsidP="00F932A2">
      <w:pPr>
        <w:pStyle w:val="Bullets"/>
      </w:pPr>
      <w:r>
        <w:t xml:space="preserve">It is an offence to knowingly or recklessly obtaining, disclosing, or procuring personal data without the consent of the data </w:t>
      </w:r>
      <w:r w:rsidR="00434796">
        <w:t>Controller</w:t>
      </w:r>
      <w:r>
        <w:t>, and the sale or offering for sale of that data.</w:t>
      </w:r>
    </w:p>
    <w:p w14:paraId="41FF3461" w14:textId="77777777" w:rsidR="00F932A2" w:rsidRDefault="00F932A2" w:rsidP="00F932A2">
      <w:pPr>
        <w:pStyle w:val="Clause"/>
      </w:pPr>
      <w:r>
        <w:t>Section 171: Re-identification of de-identified personal data</w:t>
      </w:r>
    </w:p>
    <w:p w14:paraId="76893EE8" w14:textId="77777777" w:rsidR="00F932A2" w:rsidRDefault="00F932A2" w:rsidP="00F932A2">
      <w:pPr>
        <w:pStyle w:val="Bullets"/>
      </w:pPr>
      <w:r>
        <w:t>Section (5) states that it is an offence for a person knowingly or recklessly to process personal data that is information that has been re-identified.</w:t>
      </w:r>
    </w:p>
    <w:p w14:paraId="0A3F4A0A" w14:textId="7DA5AA5A" w:rsidR="00F932A2" w:rsidRDefault="00F932A2" w:rsidP="00F932A2">
      <w:pPr>
        <w:pStyle w:val="Clause"/>
      </w:pPr>
      <w:r>
        <w:t xml:space="preserve">Section 173: Alteration etc of personal data to prevent disclosure to </w:t>
      </w:r>
      <w:r w:rsidR="00434796">
        <w:t>Data Subject</w:t>
      </w:r>
    </w:p>
    <w:p w14:paraId="39080992" w14:textId="77777777" w:rsidR="00F932A2" w:rsidRDefault="00F932A2" w:rsidP="00F932A2">
      <w:pPr>
        <w:pStyle w:val="Bullets"/>
      </w:pPr>
      <w:r>
        <w:t>Section 173 (3) makes it a criminal offence for organisations (persons listed in Section 173 (4)) to alter, deface, block, erase, destroy or conceal information with the intention of preventing disclosure.</w:t>
      </w:r>
    </w:p>
    <w:p w14:paraId="0463F8C4" w14:textId="77777777" w:rsidR="00F932A2" w:rsidRDefault="00F932A2" w:rsidP="00F932A2">
      <w:pPr>
        <w:pStyle w:val="Clause"/>
      </w:pPr>
      <w:r>
        <w:t>Section 184: Prohibition of requirement to produce relevant records</w:t>
      </w:r>
    </w:p>
    <w:p w14:paraId="0A4B18B3" w14:textId="5785390D" w:rsidR="00F932A2" w:rsidRDefault="00F932A2" w:rsidP="00F932A2">
      <w:pPr>
        <w:pStyle w:val="Bullets"/>
      </w:pPr>
      <w:r>
        <w:t xml:space="preserve">Section 184 (1) makes it an offence for a person to require another to provide them with or give them access to a relevant record linked to the employment, continued employment of one of their employees or a contract for the provisions of services to them. Section 184 (2) makes it an offence for a person to require another to provide them with or access to a relevant record if the requestor is involved in the provision of goods, facilities, or services to the public or the requirement is a condition of providing or offering to provide goods, facilities, or services to the other person or a third </w:t>
      </w:r>
      <w:r w:rsidR="00434796">
        <w:t>Party</w:t>
      </w:r>
      <w:r>
        <w:t>.</w:t>
      </w:r>
    </w:p>
    <w:p w14:paraId="7DFF45EB" w14:textId="77777777" w:rsidR="00F932A2" w:rsidRDefault="00F932A2" w:rsidP="00F932A2">
      <w:pPr>
        <w:pStyle w:val="Clause"/>
      </w:pPr>
      <w:r>
        <w:t>Schedule 15, Paragraph 15. Powers of Entry and Inspection</w:t>
      </w:r>
    </w:p>
    <w:p w14:paraId="452A3FBB" w14:textId="77777777" w:rsidR="00F932A2" w:rsidRDefault="00F932A2" w:rsidP="00F932A2">
      <w:pPr>
        <w:pStyle w:val="Bullets"/>
      </w:pPr>
      <w:r>
        <w:t>It is an offence under paragraph 15 (1) for a person to intentionally obstruct a person in the execution of a warrant issued under this Schedule or to fail without reasonable excuse to give a person executing the warrant such assistance as may be required. Under paragraph 15 (2) it is an offence for a person to make a statement in response to a requirement under paragraph 5(2(c) or (d) or 3(c) or (d) which the person knows to be false in a material respect or recklessly make such a statement.</w:t>
      </w:r>
    </w:p>
    <w:p w14:paraId="1EDCA5FF" w14:textId="2699A49E" w:rsidR="00F423F0" w:rsidRDefault="00F932A2" w:rsidP="00F932A2">
      <w:pPr>
        <w:pStyle w:val="Bullets"/>
      </w:pPr>
      <w:r>
        <w:t>There are no custodial sentences in respect of offences under DPA 2018 and no powers of arrest; all offences are punishable only by a fine</w:t>
      </w:r>
    </w:p>
    <w:p w14:paraId="6F4CF7B8" w14:textId="77777777" w:rsidR="00F423F0" w:rsidRDefault="00F423F0">
      <w:pPr>
        <w:spacing w:after="200" w:line="276" w:lineRule="auto"/>
        <w:jc w:val="left"/>
        <w:rPr>
          <w:lang w:eastAsia="en-US"/>
        </w:rPr>
      </w:pPr>
      <w:r>
        <w:br w:type="page"/>
      </w:r>
    </w:p>
    <w:p w14:paraId="7F23FE8E" w14:textId="77777777" w:rsidR="00F423F0" w:rsidRDefault="00F423F0" w:rsidP="00F423F0">
      <w:pPr>
        <w:pStyle w:val="Heading1"/>
        <w:jc w:val="center"/>
      </w:pPr>
      <w:r>
        <w:lastRenderedPageBreak/>
        <w:t>DECLARATION OF ACCEPTANCE AND PARTICIPATION FORM</w:t>
      </w:r>
    </w:p>
    <w:p w14:paraId="22E97836" w14:textId="77777777" w:rsidR="00F423F0" w:rsidRPr="00F423F0" w:rsidRDefault="00F423F0" w:rsidP="00F423F0">
      <w:pPr>
        <w:jc w:val="center"/>
        <w:rPr>
          <w:sz w:val="32"/>
          <w:szCs w:val="32"/>
        </w:rPr>
      </w:pPr>
      <w:r w:rsidRPr="00F423F0">
        <w:rPr>
          <w:sz w:val="32"/>
          <w:szCs w:val="32"/>
        </w:rPr>
        <w:t>Gloucestershire Information Sharing Partnership Agreement</w:t>
      </w:r>
    </w:p>
    <w:p w14:paraId="71B5755F" w14:textId="3F0B59DC" w:rsidR="00F423F0" w:rsidRDefault="00F423F0" w:rsidP="00F423F0">
      <w:r>
        <w:t>As an appropriate person</w:t>
      </w:r>
      <w:r w:rsidR="006A4E30">
        <w:t xml:space="preserve"> on behalf of your organisation,</w:t>
      </w:r>
      <w:r>
        <w:t xml:space="preserve"> you are signing this </w:t>
      </w:r>
      <w:r w:rsidR="00F8108C">
        <w:t>A</w:t>
      </w:r>
      <w:r>
        <w:t>greement and committing it to:</w:t>
      </w:r>
    </w:p>
    <w:p w14:paraId="5964C1D5" w14:textId="69054B63" w:rsidR="00F423F0" w:rsidRDefault="00F423F0" w:rsidP="00AB450C">
      <w:pPr>
        <w:pStyle w:val="ListParagraph"/>
        <w:numPr>
          <w:ilvl w:val="0"/>
          <w:numId w:val="23"/>
        </w:numPr>
      </w:pPr>
      <w:proofErr w:type="gramStart"/>
      <w:r>
        <w:t>All of</w:t>
      </w:r>
      <w:proofErr w:type="gramEnd"/>
      <w:r>
        <w:t xml:space="preserve"> the requirements, terms and conditions of the Gloucestershire Information Sharing Partnership Agreement overarching data sharing protocol, and its Schedules. </w:t>
      </w:r>
    </w:p>
    <w:p w14:paraId="096D0031" w14:textId="6783AF6A" w:rsidR="00F423F0" w:rsidRDefault="00F423F0" w:rsidP="00AB450C">
      <w:pPr>
        <w:pStyle w:val="ListParagraph"/>
        <w:numPr>
          <w:ilvl w:val="0"/>
          <w:numId w:val="23"/>
        </w:numPr>
      </w:pPr>
      <w:r>
        <w:t xml:space="preserve">Implement such processes as required to be able to meet the requirements, terms and conditions of the Gloucestershire Information Sharing Partnership Agreement overarching data sharing protocol, and its Schedules.  </w:t>
      </w:r>
    </w:p>
    <w:p w14:paraId="35AD1C49" w14:textId="3183202B" w:rsidR="00F423F0" w:rsidRDefault="00F423F0" w:rsidP="00F423F0">
      <w:r>
        <w:t xml:space="preserve">By signing the </w:t>
      </w:r>
      <w:proofErr w:type="gramStart"/>
      <w:r w:rsidR="00F8108C">
        <w:t>A</w:t>
      </w:r>
      <w:r>
        <w:t>greement</w:t>
      </w:r>
      <w:proofErr w:type="gramEnd"/>
      <w:r>
        <w:t xml:space="preserve"> you agree to:</w:t>
      </w:r>
    </w:p>
    <w:p w14:paraId="4D22F71B" w14:textId="3D891CA8" w:rsidR="00F423F0" w:rsidRDefault="00F423F0" w:rsidP="00AB450C">
      <w:pPr>
        <w:pStyle w:val="ListParagraph"/>
        <w:numPr>
          <w:ilvl w:val="0"/>
          <w:numId w:val="24"/>
        </w:numPr>
      </w:pPr>
      <w:r>
        <w:t>Your organisations information to be published on Gloucestershire County Councils website</w:t>
      </w:r>
    </w:p>
    <w:p w14:paraId="516EB7CD" w14:textId="5A3D035D" w:rsidR="00F423F0" w:rsidRDefault="00F423F0" w:rsidP="00F423F0">
      <w:r>
        <w:t xml:space="preserve">Please return a completed copy of this form to the Information Management Service, Gloucestershire County Council at </w:t>
      </w:r>
      <w:hyperlink r:id="rId13" w:history="1">
        <w:r w:rsidR="00AB450C" w:rsidRPr="00560EC8">
          <w:rPr>
            <w:rStyle w:val="Hyperlink"/>
          </w:rPr>
          <w:t>DPO@gloucestershire.gov.uk</w:t>
        </w:r>
      </w:hyperlink>
      <w:r w:rsidR="00AB450C">
        <w:t xml:space="preserve"> </w:t>
      </w:r>
      <w:r>
        <w:t xml:space="preserve"> </w:t>
      </w:r>
    </w:p>
    <w:p w14:paraId="1F8E0A04" w14:textId="77777777" w:rsidR="00F423F0" w:rsidRDefault="00F423F0" w:rsidP="00F423F0"/>
    <w:p w14:paraId="27230D6D" w14:textId="77777777" w:rsidR="00F423F0" w:rsidRPr="00AB450C" w:rsidRDefault="00F423F0" w:rsidP="00F423F0">
      <w:pPr>
        <w:rPr>
          <w:b/>
          <w:bCs/>
        </w:rPr>
      </w:pPr>
      <w:r w:rsidRPr="00AB450C">
        <w:rPr>
          <w:b/>
          <w:bCs/>
        </w:rPr>
        <w:t>I confirm my organisation is a signatory to the Gloucestershire Information Sharing Partnership Agreement V5:</w:t>
      </w:r>
    </w:p>
    <w:tbl>
      <w:tblPr>
        <w:tblStyle w:val="TableGrid"/>
        <w:tblW w:w="0" w:type="auto"/>
        <w:tblLayout w:type="fixed"/>
        <w:tblLook w:val="04A0" w:firstRow="1" w:lastRow="0" w:firstColumn="1" w:lastColumn="0" w:noHBand="0" w:noVBand="1"/>
      </w:tblPr>
      <w:tblGrid>
        <w:gridCol w:w="2689"/>
        <w:gridCol w:w="7047"/>
      </w:tblGrid>
      <w:tr w:rsidR="00AB450C" w14:paraId="5CFEEC28" w14:textId="77777777" w:rsidTr="00AB450C">
        <w:tc>
          <w:tcPr>
            <w:tcW w:w="2689" w:type="dxa"/>
            <w:vAlign w:val="center"/>
          </w:tcPr>
          <w:p w14:paraId="0049ABAC" w14:textId="60F4D58D" w:rsidR="00AB450C" w:rsidRPr="00AB450C" w:rsidRDefault="00AB450C" w:rsidP="00AB450C">
            <w:pPr>
              <w:pStyle w:val="TableText"/>
              <w:rPr>
                <w:b/>
                <w:bCs/>
              </w:rPr>
            </w:pPr>
            <w:r w:rsidRPr="00AB450C">
              <w:rPr>
                <w:b/>
                <w:bCs/>
              </w:rPr>
              <w:t>Signature:</w:t>
            </w:r>
          </w:p>
        </w:tc>
        <w:tc>
          <w:tcPr>
            <w:tcW w:w="7047" w:type="dxa"/>
            <w:vAlign w:val="center"/>
          </w:tcPr>
          <w:p w14:paraId="254B8375" w14:textId="77777777" w:rsidR="00AB450C" w:rsidRPr="00AB450C" w:rsidRDefault="00AB450C" w:rsidP="00AB450C">
            <w:pPr>
              <w:pStyle w:val="TableText"/>
            </w:pPr>
          </w:p>
        </w:tc>
      </w:tr>
      <w:tr w:rsidR="00AB450C" w14:paraId="6DD521A3" w14:textId="77777777" w:rsidTr="00AB450C">
        <w:tc>
          <w:tcPr>
            <w:tcW w:w="2689" w:type="dxa"/>
            <w:vAlign w:val="center"/>
          </w:tcPr>
          <w:p w14:paraId="3AB69BCA" w14:textId="0FB13ACA" w:rsidR="00AB450C" w:rsidRPr="00AB450C" w:rsidRDefault="00AB450C" w:rsidP="00AB450C">
            <w:pPr>
              <w:pStyle w:val="TableText"/>
              <w:rPr>
                <w:b/>
                <w:bCs/>
              </w:rPr>
            </w:pPr>
            <w:r w:rsidRPr="00AB450C">
              <w:rPr>
                <w:b/>
                <w:bCs/>
              </w:rPr>
              <w:t>Name:</w:t>
            </w:r>
          </w:p>
        </w:tc>
        <w:tc>
          <w:tcPr>
            <w:tcW w:w="7047" w:type="dxa"/>
            <w:vAlign w:val="center"/>
          </w:tcPr>
          <w:p w14:paraId="0A836562" w14:textId="77777777" w:rsidR="00AB450C" w:rsidRDefault="00AB450C" w:rsidP="00AB450C">
            <w:pPr>
              <w:pStyle w:val="TableText"/>
            </w:pPr>
          </w:p>
        </w:tc>
      </w:tr>
      <w:tr w:rsidR="00AB450C" w14:paraId="4479D490" w14:textId="77777777" w:rsidTr="00AB450C">
        <w:tc>
          <w:tcPr>
            <w:tcW w:w="2689" w:type="dxa"/>
            <w:vAlign w:val="center"/>
          </w:tcPr>
          <w:p w14:paraId="24785D88" w14:textId="0D65152B" w:rsidR="00AB450C" w:rsidRPr="00AB450C" w:rsidRDefault="00AB450C" w:rsidP="00AB450C">
            <w:pPr>
              <w:pStyle w:val="TableText"/>
              <w:rPr>
                <w:b/>
                <w:bCs/>
              </w:rPr>
            </w:pPr>
            <w:r w:rsidRPr="00AB450C">
              <w:rPr>
                <w:b/>
                <w:bCs/>
              </w:rPr>
              <w:t>Position/Title:</w:t>
            </w:r>
          </w:p>
        </w:tc>
        <w:tc>
          <w:tcPr>
            <w:tcW w:w="7047" w:type="dxa"/>
            <w:vAlign w:val="center"/>
          </w:tcPr>
          <w:p w14:paraId="38A8F2DD" w14:textId="77777777" w:rsidR="00AB450C" w:rsidRDefault="00AB450C" w:rsidP="00AB450C">
            <w:pPr>
              <w:pStyle w:val="TableText"/>
            </w:pPr>
          </w:p>
        </w:tc>
      </w:tr>
      <w:tr w:rsidR="00AB450C" w14:paraId="70A2F186" w14:textId="77777777" w:rsidTr="00AB450C">
        <w:tc>
          <w:tcPr>
            <w:tcW w:w="2689" w:type="dxa"/>
            <w:vAlign w:val="center"/>
          </w:tcPr>
          <w:p w14:paraId="10DC6EB5" w14:textId="7D53B770" w:rsidR="00AB450C" w:rsidRPr="00AB450C" w:rsidRDefault="00AB450C" w:rsidP="00AB450C">
            <w:pPr>
              <w:pStyle w:val="TableText"/>
              <w:rPr>
                <w:b/>
                <w:bCs/>
              </w:rPr>
            </w:pPr>
            <w:r w:rsidRPr="00AB450C">
              <w:rPr>
                <w:b/>
                <w:bCs/>
              </w:rPr>
              <w:t>Organisation Name:</w:t>
            </w:r>
          </w:p>
        </w:tc>
        <w:tc>
          <w:tcPr>
            <w:tcW w:w="7047" w:type="dxa"/>
            <w:vAlign w:val="center"/>
          </w:tcPr>
          <w:p w14:paraId="738FD9C9" w14:textId="77777777" w:rsidR="00AB450C" w:rsidRDefault="00AB450C" w:rsidP="00AB450C">
            <w:pPr>
              <w:pStyle w:val="TableText"/>
            </w:pPr>
          </w:p>
        </w:tc>
      </w:tr>
      <w:tr w:rsidR="00AB450C" w14:paraId="46B18B2D" w14:textId="77777777" w:rsidTr="00AB450C">
        <w:tc>
          <w:tcPr>
            <w:tcW w:w="2689" w:type="dxa"/>
            <w:vAlign w:val="center"/>
          </w:tcPr>
          <w:p w14:paraId="3618851C" w14:textId="7ED848C0" w:rsidR="00AB450C" w:rsidRPr="00AB450C" w:rsidRDefault="00AB450C" w:rsidP="00AB450C">
            <w:pPr>
              <w:pStyle w:val="TableText"/>
              <w:rPr>
                <w:b/>
                <w:bCs/>
              </w:rPr>
            </w:pPr>
            <w:r w:rsidRPr="00AB450C">
              <w:rPr>
                <w:b/>
                <w:bCs/>
              </w:rPr>
              <w:t>Date:</w:t>
            </w:r>
            <w:r w:rsidRPr="00AB450C">
              <w:rPr>
                <w:b/>
                <w:bCs/>
              </w:rPr>
              <w:tab/>
            </w:r>
          </w:p>
        </w:tc>
        <w:tc>
          <w:tcPr>
            <w:tcW w:w="7047" w:type="dxa"/>
            <w:vAlign w:val="center"/>
          </w:tcPr>
          <w:p w14:paraId="65B75E82" w14:textId="77777777" w:rsidR="00AB450C" w:rsidRDefault="00AB450C" w:rsidP="00AB450C">
            <w:pPr>
              <w:pStyle w:val="TableText"/>
            </w:pPr>
          </w:p>
        </w:tc>
      </w:tr>
    </w:tbl>
    <w:p w14:paraId="58013C5A" w14:textId="77777777" w:rsidR="00F423F0" w:rsidRDefault="00F423F0" w:rsidP="00F423F0"/>
    <w:p w14:paraId="427524A2" w14:textId="77777777" w:rsidR="00F423F0" w:rsidRDefault="00F423F0" w:rsidP="00F423F0"/>
    <w:p w14:paraId="230B2FD3" w14:textId="77777777" w:rsidR="00F423F0" w:rsidRDefault="00F423F0" w:rsidP="00F423F0"/>
    <w:p w14:paraId="33E656B8" w14:textId="77777777" w:rsidR="001C2C70" w:rsidRDefault="001C2C70" w:rsidP="00F423F0"/>
    <w:sectPr w:rsidR="001C2C70" w:rsidSect="003753CC">
      <w:headerReference w:type="even" r:id="rId14"/>
      <w:headerReference w:type="default" r:id="rId15"/>
      <w:footerReference w:type="default" r:id="rId16"/>
      <w:headerReference w:type="first" r:id="rId17"/>
      <w:pgSz w:w="11906" w:h="16838"/>
      <w:pgMar w:top="1440" w:right="1080" w:bottom="1440" w:left="108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18757" w14:textId="77777777" w:rsidR="00866194" w:rsidRDefault="00866194" w:rsidP="00866194">
      <w:pPr>
        <w:spacing w:after="0" w:line="240" w:lineRule="auto"/>
      </w:pPr>
      <w:r>
        <w:separator/>
      </w:r>
    </w:p>
  </w:endnote>
  <w:endnote w:type="continuationSeparator" w:id="0">
    <w:p w14:paraId="6A6896B8" w14:textId="77777777" w:rsidR="00866194" w:rsidRDefault="00866194" w:rsidP="0086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Cs w:val="0"/>
      </w:rPr>
      <w:id w:val="-1289272537"/>
      <w:docPartObj>
        <w:docPartGallery w:val="Page Numbers (Bottom of Page)"/>
        <w:docPartUnique/>
      </w:docPartObj>
    </w:sdtPr>
    <w:sdtEndPr>
      <w:rPr>
        <w:noProof/>
        <w:sz w:val="2"/>
        <w:szCs w:val="2"/>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3241"/>
          <w:gridCol w:w="3274"/>
        </w:tblGrid>
        <w:tr w:rsidR="0030355E" w14:paraId="7615C919" w14:textId="77777777" w:rsidTr="0030355E">
          <w:trPr>
            <w:trHeight w:val="20"/>
          </w:trPr>
          <w:tc>
            <w:tcPr>
              <w:tcW w:w="3485" w:type="dxa"/>
            </w:tcPr>
            <w:p w14:paraId="3CD62CEF" w14:textId="3F0DC964" w:rsidR="0030355E" w:rsidRDefault="0030355E" w:rsidP="0030355E">
              <w:pPr>
                <w:pStyle w:val="Footer"/>
                <w:spacing w:after="0" w:line="240" w:lineRule="auto"/>
                <w:jc w:val="center"/>
              </w:pPr>
            </w:p>
          </w:tc>
          <w:tc>
            <w:tcPr>
              <w:tcW w:w="3485" w:type="dxa"/>
            </w:tcPr>
            <w:p w14:paraId="7F86AD41" w14:textId="2C7DAB68" w:rsidR="0030355E" w:rsidRDefault="0030355E" w:rsidP="0030355E">
              <w:pPr>
                <w:pStyle w:val="Footer"/>
                <w:spacing w:after="0" w:line="240" w:lineRule="auto"/>
                <w:jc w:val="center"/>
              </w:pPr>
              <w:r>
                <w:fldChar w:fldCharType="begin"/>
              </w:r>
              <w:r>
                <w:instrText xml:space="preserve"> PAGE   \* MERGEFORMAT </w:instrText>
              </w:r>
              <w:r>
                <w:fldChar w:fldCharType="separate"/>
              </w:r>
              <w:r>
                <w:t>6</w:t>
              </w:r>
              <w:r>
                <w:rPr>
                  <w:noProof/>
                </w:rPr>
                <w:fldChar w:fldCharType="end"/>
              </w:r>
            </w:p>
          </w:tc>
          <w:tc>
            <w:tcPr>
              <w:tcW w:w="3486" w:type="dxa"/>
              <w:vAlign w:val="center"/>
            </w:tcPr>
            <w:p w14:paraId="6CB1A50D" w14:textId="3882C391" w:rsidR="0030355E" w:rsidRDefault="0030355E" w:rsidP="0030355E">
              <w:pPr>
                <w:pStyle w:val="Footer"/>
                <w:spacing w:after="0" w:line="240" w:lineRule="auto"/>
                <w:jc w:val="right"/>
              </w:pPr>
              <w:r w:rsidRPr="0030355E">
                <w:rPr>
                  <w:sz w:val="16"/>
                  <w:szCs w:val="16"/>
                </w:rPr>
                <w:t>(GISPA v5</w:t>
              </w:r>
              <w:r w:rsidR="008A160F">
                <w:rPr>
                  <w:sz w:val="16"/>
                  <w:szCs w:val="16"/>
                </w:rPr>
                <w:t>.1</w:t>
              </w:r>
              <w:r w:rsidRPr="0030355E">
                <w:rPr>
                  <w:sz w:val="16"/>
                  <w:szCs w:val="16"/>
                </w:rPr>
                <w:t xml:space="preserve"> </w:t>
              </w:r>
              <w:r w:rsidR="001228FD">
                <w:rPr>
                  <w:sz w:val="16"/>
                  <w:szCs w:val="16"/>
                </w:rPr>
                <w:t>–</w:t>
              </w:r>
              <w:r w:rsidR="005A04E3">
                <w:rPr>
                  <w:sz w:val="16"/>
                  <w:szCs w:val="16"/>
                </w:rPr>
                <w:t xml:space="preserve"> </w:t>
              </w:r>
              <w:r w:rsidR="00542CF3">
                <w:rPr>
                  <w:sz w:val="16"/>
                  <w:szCs w:val="16"/>
                </w:rPr>
                <w:t>Full</w:t>
              </w:r>
              <w:r w:rsidR="001228FD">
                <w:rPr>
                  <w:sz w:val="16"/>
                  <w:szCs w:val="16"/>
                </w:rPr>
                <w:t xml:space="preserve"> 202</w:t>
              </w:r>
              <w:r w:rsidR="008A160F">
                <w:rPr>
                  <w:sz w:val="16"/>
                  <w:szCs w:val="16"/>
                </w:rPr>
                <w:t>4</w:t>
              </w:r>
              <w:r w:rsidRPr="0030355E">
                <w:rPr>
                  <w:sz w:val="16"/>
                  <w:szCs w:val="16"/>
                </w:rPr>
                <w:t>)</w:t>
              </w:r>
            </w:p>
          </w:tc>
        </w:tr>
      </w:tbl>
      <w:p w14:paraId="177B81AC" w14:textId="7F1D08E2" w:rsidR="00866194" w:rsidRPr="005A04E3" w:rsidRDefault="002A6131" w:rsidP="005A04E3">
        <w:pPr>
          <w:pStyle w:val="Foote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8F0D9" w14:textId="77777777" w:rsidR="00866194" w:rsidRDefault="00866194" w:rsidP="00866194">
      <w:pPr>
        <w:spacing w:after="0" w:line="240" w:lineRule="auto"/>
      </w:pPr>
      <w:r>
        <w:separator/>
      </w:r>
    </w:p>
  </w:footnote>
  <w:footnote w:type="continuationSeparator" w:id="0">
    <w:p w14:paraId="338C8E88" w14:textId="77777777" w:rsidR="00866194" w:rsidRDefault="00866194" w:rsidP="00866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8A468" w14:textId="599729EA" w:rsidR="003F53C5" w:rsidRDefault="003F53C5">
    <w:pPr>
      <w:pStyle w:val="Header"/>
    </w:pPr>
    <w:r>
      <w:rPr>
        <w:noProof/>
      </w:rPr>
      <mc:AlternateContent>
        <mc:Choice Requires="wps">
          <w:drawing>
            <wp:anchor distT="0" distB="0" distL="0" distR="0" simplePos="0" relativeHeight="251659264" behindDoc="0" locked="0" layoutInCell="1" allowOverlap="1" wp14:anchorId="172FE415" wp14:editId="17B3E5CF">
              <wp:simplePos x="635" y="635"/>
              <wp:positionH relativeFrom="page">
                <wp:align>center</wp:align>
              </wp:positionH>
              <wp:positionV relativeFrom="page">
                <wp:align>top</wp:align>
              </wp:positionV>
              <wp:extent cx="443865" cy="443865"/>
              <wp:effectExtent l="0" t="0" r="7620" b="8890"/>
              <wp:wrapNone/>
              <wp:docPr id="1532029356" name="Text Box 2"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D56997" w14:textId="084073A4" w:rsidR="003F53C5" w:rsidRPr="003F53C5" w:rsidRDefault="003F53C5" w:rsidP="003F53C5">
                          <w:pPr>
                            <w:spacing w:after="0"/>
                            <w:rPr>
                              <w:rFonts w:ascii="Calibri" w:eastAsia="Calibri" w:hAnsi="Calibri" w:cs="Calibri"/>
                              <w:noProof/>
                              <w:color w:val="000000"/>
                              <w:sz w:val="20"/>
                              <w:szCs w:val="20"/>
                            </w:rPr>
                          </w:pPr>
                          <w:r w:rsidRPr="003F53C5">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2FE415" id="_x0000_t202" coordsize="21600,21600" o:spt="202" path="m,l,21600r21600,l21600,xe">
              <v:stroke joinstyle="miter"/>
              <v:path gradientshapeok="t" o:connecttype="rect"/>
            </v:shapetype>
            <v:shape id="Text Box 2" o:spid="_x0000_s1026" type="#_x0000_t202" alt="Official - Commer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AD56997" w14:textId="084073A4" w:rsidR="003F53C5" w:rsidRPr="003F53C5" w:rsidRDefault="003F53C5" w:rsidP="003F53C5">
                    <w:pPr>
                      <w:spacing w:after="0"/>
                      <w:rPr>
                        <w:rFonts w:ascii="Calibri" w:eastAsia="Calibri" w:hAnsi="Calibri" w:cs="Calibri"/>
                        <w:noProof/>
                        <w:color w:val="000000"/>
                        <w:sz w:val="20"/>
                        <w:szCs w:val="20"/>
                      </w:rPr>
                    </w:pPr>
                    <w:r w:rsidRPr="003F53C5">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62E8B" w14:textId="42EF923F" w:rsidR="003F53C5" w:rsidRDefault="003F53C5">
    <w:pPr>
      <w:pStyle w:val="Header"/>
    </w:pPr>
    <w:r>
      <w:rPr>
        <w:noProof/>
      </w:rPr>
      <mc:AlternateContent>
        <mc:Choice Requires="wps">
          <w:drawing>
            <wp:anchor distT="0" distB="0" distL="0" distR="0" simplePos="0" relativeHeight="251660288" behindDoc="0" locked="0" layoutInCell="1" allowOverlap="1" wp14:anchorId="7BCA571F" wp14:editId="0FEDD533">
              <wp:simplePos x="685800" y="449580"/>
              <wp:positionH relativeFrom="page">
                <wp:align>center</wp:align>
              </wp:positionH>
              <wp:positionV relativeFrom="page">
                <wp:align>top</wp:align>
              </wp:positionV>
              <wp:extent cx="443865" cy="443865"/>
              <wp:effectExtent l="0" t="0" r="7620" b="8890"/>
              <wp:wrapNone/>
              <wp:docPr id="1284339438" name="Text Box 3"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2FF976" w14:textId="2D821024" w:rsidR="003F53C5" w:rsidRPr="003F53C5" w:rsidRDefault="003F53C5" w:rsidP="003F53C5">
                          <w:pPr>
                            <w:spacing w:after="0"/>
                            <w:rPr>
                              <w:rFonts w:ascii="Calibri" w:eastAsia="Calibri" w:hAnsi="Calibri" w:cs="Calibri"/>
                              <w:noProof/>
                              <w:color w:val="000000"/>
                              <w:sz w:val="20"/>
                              <w:szCs w:val="20"/>
                            </w:rPr>
                          </w:pPr>
                          <w:r w:rsidRPr="003F53C5">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CA571F" id="_x0000_t202" coordsize="21600,21600" o:spt="202" path="m,l,21600r21600,l21600,xe">
              <v:stroke joinstyle="miter"/>
              <v:path gradientshapeok="t" o:connecttype="rect"/>
            </v:shapetype>
            <v:shape id="Text Box 3" o:spid="_x0000_s1027" type="#_x0000_t202" alt="Official - Commer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A2FF976" w14:textId="2D821024" w:rsidR="003F53C5" w:rsidRPr="003F53C5" w:rsidRDefault="003F53C5" w:rsidP="003F53C5">
                    <w:pPr>
                      <w:spacing w:after="0"/>
                      <w:rPr>
                        <w:rFonts w:ascii="Calibri" w:eastAsia="Calibri" w:hAnsi="Calibri" w:cs="Calibri"/>
                        <w:noProof/>
                        <w:color w:val="000000"/>
                        <w:sz w:val="20"/>
                        <w:szCs w:val="20"/>
                      </w:rPr>
                    </w:pPr>
                    <w:r w:rsidRPr="003F53C5">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FB8D3" w14:textId="72CB688F" w:rsidR="003F53C5" w:rsidRDefault="003F53C5">
    <w:pPr>
      <w:pStyle w:val="Header"/>
    </w:pPr>
    <w:r>
      <w:rPr>
        <w:noProof/>
      </w:rPr>
      <mc:AlternateContent>
        <mc:Choice Requires="wps">
          <w:drawing>
            <wp:anchor distT="0" distB="0" distL="0" distR="0" simplePos="0" relativeHeight="251658240" behindDoc="0" locked="0" layoutInCell="1" allowOverlap="1" wp14:anchorId="00772479" wp14:editId="660B4B04">
              <wp:simplePos x="685800" y="449580"/>
              <wp:positionH relativeFrom="page">
                <wp:align>center</wp:align>
              </wp:positionH>
              <wp:positionV relativeFrom="page">
                <wp:align>top</wp:align>
              </wp:positionV>
              <wp:extent cx="443865" cy="443865"/>
              <wp:effectExtent l="0" t="0" r="7620" b="8890"/>
              <wp:wrapNone/>
              <wp:docPr id="801598923" name="Text Box 1"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E147F0" w14:textId="6191A6BD" w:rsidR="003F53C5" w:rsidRPr="003F53C5" w:rsidRDefault="003F53C5" w:rsidP="003F53C5">
                          <w:pPr>
                            <w:spacing w:after="0"/>
                            <w:rPr>
                              <w:rFonts w:ascii="Calibri" w:eastAsia="Calibri" w:hAnsi="Calibri" w:cs="Calibri"/>
                              <w:noProof/>
                              <w:color w:val="000000"/>
                              <w:sz w:val="20"/>
                              <w:szCs w:val="20"/>
                            </w:rPr>
                          </w:pPr>
                          <w:r w:rsidRPr="003F53C5">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772479" id="_x0000_t202" coordsize="21600,21600" o:spt="202" path="m,l,21600r21600,l21600,xe">
              <v:stroke joinstyle="miter"/>
              <v:path gradientshapeok="t" o:connecttype="rect"/>
            </v:shapetype>
            <v:shape id="Text Box 1" o:spid="_x0000_s1028" type="#_x0000_t202" alt="Official - Commer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4E147F0" w14:textId="6191A6BD" w:rsidR="003F53C5" w:rsidRPr="003F53C5" w:rsidRDefault="003F53C5" w:rsidP="003F53C5">
                    <w:pPr>
                      <w:spacing w:after="0"/>
                      <w:rPr>
                        <w:rFonts w:ascii="Calibri" w:eastAsia="Calibri" w:hAnsi="Calibri" w:cs="Calibri"/>
                        <w:noProof/>
                        <w:color w:val="000000"/>
                        <w:sz w:val="20"/>
                        <w:szCs w:val="20"/>
                      </w:rPr>
                    </w:pPr>
                    <w:r w:rsidRPr="003F53C5">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B2C35"/>
    <w:multiLevelType w:val="hybridMultilevel"/>
    <w:tmpl w:val="98E06EC8"/>
    <w:lvl w:ilvl="0" w:tplc="50E615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E78A8"/>
    <w:multiLevelType w:val="hybridMultilevel"/>
    <w:tmpl w:val="1B9462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BE2D34"/>
    <w:multiLevelType w:val="hybridMultilevel"/>
    <w:tmpl w:val="A694F3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B006C9"/>
    <w:multiLevelType w:val="multilevel"/>
    <w:tmpl w:val="378EA9D6"/>
    <w:lvl w:ilvl="0">
      <w:start w:val="1"/>
      <w:numFmt w:val="none"/>
      <w:pStyle w:val="Heading1"/>
      <w:lvlText w:val=""/>
      <w:lvlJc w:val="left"/>
      <w:pPr>
        <w:ind w:left="0" w:firstLine="0"/>
      </w:pPr>
      <w:rPr>
        <w:rFonts w:hint="default"/>
      </w:rPr>
    </w:lvl>
    <w:lvl w:ilvl="1">
      <w:start w:val="1"/>
      <w:numFmt w:val="decimal"/>
      <w:pStyle w:val="Heading2"/>
      <w:lvlText w:val="%2."/>
      <w:lvlJc w:val="left"/>
      <w:pPr>
        <w:ind w:left="737" w:hanging="737"/>
      </w:pPr>
      <w:rPr>
        <w:rFonts w:hint="default"/>
      </w:rPr>
    </w:lvl>
    <w:lvl w:ilvl="2">
      <w:start w:val="1"/>
      <w:numFmt w:val="decimal"/>
      <w:pStyle w:val="Clause"/>
      <w:lvlText w:val="%2.%3"/>
      <w:lvlJc w:val="left"/>
      <w:pPr>
        <w:ind w:left="737" w:hanging="737"/>
      </w:pPr>
      <w:rPr>
        <w:rFonts w:hint="default"/>
      </w:rPr>
    </w:lvl>
    <w:lvl w:ilvl="3">
      <w:start w:val="1"/>
      <w:numFmt w:val="decimal"/>
      <w:pStyle w:val="Sub-clause"/>
      <w:lvlText w:val="%2.%3.%4"/>
      <w:lvlJc w:val="left"/>
      <w:pPr>
        <w:ind w:left="737" w:hanging="737"/>
      </w:pPr>
      <w:rPr>
        <w:rFonts w:hint="default"/>
      </w:rPr>
    </w:lvl>
    <w:lvl w:ilvl="4">
      <w:start w:val="1"/>
      <w:numFmt w:val="lowerLetter"/>
      <w:pStyle w:val="Bullets"/>
      <w:lvlText w:val="%5)"/>
      <w:lvlJc w:val="left"/>
      <w:pPr>
        <w:ind w:left="1077" w:hanging="340"/>
      </w:pPr>
      <w:rPr>
        <w:rFonts w:hint="default"/>
      </w:rPr>
    </w:lvl>
    <w:lvl w:ilvl="5">
      <w:start w:val="1"/>
      <w:numFmt w:val="lowerRoman"/>
      <w:pStyle w:val="Sub-bullet"/>
      <w:lvlText w:val="%6)"/>
      <w:lvlJc w:val="left"/>
      <w:pPr>
        <w:tabs>
          <w:tab w:val="num" w:pos="1191"/>
        </w:tabs>
        <w:ind w:left="1531" w:hanging="340"/>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4" w15:restartNumberingAfterBreak="0">
    <w:nsid w:val="53B86F7B"/>
    <w:multiLevelType w:val="multilevel"/>
    <w:tmpl w:val="1F7050BC"/>
    <w:lvl w:ilvl="0">
      <w:start w:val="1"/>
      <w:numFmt w:val="decimal"/>
      <w:lvlText w:val="%1."/>
      <w:lvlJc w:val="left"/>
      <w:pPr>
        <w:tabs>
          <w:tab w:val="num" w:pos="720"/>
        </w:tabs>
        <w:ind w:left="720" w:hanging="720"/>
      </w:pPr>
    </w:lvl>
    <w:lvl w:ilvl="1">
      <w:start w:val="1"/>
      <w:numFmt w:val="decimal"/>
      <w:pStyle w:val="AppendicesHeading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82C5647"/>
    <w:multiLevelType w:val="hybridMultilevel"/>
    <w:tmpl w:val="1CFE82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984019"/>
    <w:multiLevelType w:val="hybridMultilevel"/>
    <w:tmpl w:val="4C14EBE8"/>
    <w:lvl w:ilvl="0" w:tplc="CC1620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AC709D"/>
    <w:multiLevelType w:val="multilevel"/>
    <w:tmpl w:val="A5380982"/>
    <w:lvl w:ilvl="0">
      <w:start w:val="1"/>
      <w:numFmt w:val="decimal"/>
      <w:lvlText w:val="%1.0"/>
      <w:lvlJc w:val="left"/>
      <w:pPr>
        <w:ind w:left="567" w:hanging="567"/>
      </w:pPr>
      <w:rPr>
        <w:rFonts w:hint="default"/>
        <w:b w:val="0"/>
        <w:bCs w:val="0"/>
        <w:color w:val="0054A4"/>
        <w:sz w:val="32"/>
        <w:szCs w:val="32"/>
      </w:rPr>
    </w:lvl>
    <w:lvl w:ilvl="1">
      <w:start w:val="1"/>
      <w:numFmt w:val="decimal"/>
      <w:lvlText w:val="%1.%2"/>
      <w:lvlJc w:val="left"/>
      <w:pPr>
        <w:ind w:left="567" w:hanging="567"/>
      </w:pPr>
      <w:rPr>
        <w:rFonts w:hint="default"/>
        <w:color w:val="0054A4"/>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8" w15:restartNumberingAfterBreak="0">
    <w:nsid w:val="76044724"/>
    <w:multiLevelType w:val="hybridMultilevel"/>
    <w:tmpl w:val="43A450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3424418">
    <w:abstractNumId w:val="6"/>
  </w:num>
  <w:num w:numId="2" w16cid:durableId="739598391">
    <w:abstractNumId w:val="6"/>
  </w:num>
  <w:num w:numId="3" w16cid:durableId="572083526">
    <w:abstractNumId w:val="7"/>
  </w:num>
  <w:num w:numId="4" w16cid:durableId="225651335">
    <w:abstractNumId w:val="7"/>
  </w:num>
  <w:num w:numId="5" w16cid:durableId="1606646163">
    <w:abstractNumId w:val="7"/>
  </w:num>
  <w:num w:numId="6" w16cid:durableId="1587835704">
    <w:abstractNumId w:val="7"/>
  </w:num>
  <w:num w:numId="7" w16cid:durableId="207030323">
    <w:abstractNumId w:val="7"/>
  </w:num>
  <w:num w:numId="8" w16cid:durableId="810054866">
    <w:abstractNumId w:val="0"/>
  </w:num>
  <w:num w:numId="9" w16cid:durableId="1800342449">
    <w:abstractNumId w:val="7"/>
  </w:num>
  <w:num w:numId="10" w16cid:durableId="643850456">
    <w:abstractNumId w:val="7"/>
  </w:num>
  <w:num w:numId="11" w16cid:durableId="1919094155">
    <w:abstractNumId w:val="7"/>
  </w:num>
  <w:num w:numId="12" w16cid:durableId="993945758">
    <w:abstractNumId w:val="7"/>
  </w:num>
  <w:num w:numId="13" w16cid:durableId="982200820">
    <w:abstractNumId w:val="7"/>
  </w:num>
  <w:num w:numId="14" w16cid:durableId="430441041">
    <w:abstractNumId w:val="0"/>
  </w:num>
  <w:num w:numId="15" w16cid:durableId="1739130681">
    <w:abstractNumId w:val="4"/>
  </w:num>
  <w:num w:numId="16" w16cid:durableId="947395377">
    <w:abstractNumId w:val="3"/>
  </w:num>
  <w:num w:numId="17" w16cid:durableId="583152754">
    <w:abstractNumId w:val="3"/>
  </w:num>
  <w:num w:numId="18" w16cid:durableId="1501038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56066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4137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1394867">
    <w:abstractNumId w:val="5"/>
  </w:num>
  <w:num w:numId="22" w16cid:durableId="1898709788">
    <w:abstractNumId w:val="8"/>
  </w:num>
  <w:num w:numId="23" w16cid:durableId="244800388">
    <w:abstractNumId w:val="1"/>
  </w:num>
  <w:num w:numId="24" w16cid:durableId="1478256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91"/>
    <w:rsid w:val="00000AAB"/>
    <w:rsid w:val="00033894"/>
    <w:rsid w:val="00051429"/>
    <w:rsid w:val="00051ADA"/>
    <w:rsid w:val="00117D47"/>
    <w:rsid w:val="001228FD"/>
    <w:rsid w:val="00191634"/>
    <w:rsid w:val="001A7B60"/>
    <w:rsid w:val="001B1252"/>
    <w:rsid w:val="001B58FA"/>
    <w:rsid w:val="001C2C70"/>
    <w:rsid w:val="00211B14"/>
    <w:rsid w:val="00267A4C"/>
    <w:rsid w:val="00297625"/>
    <w:rsid w:val="002A6131"/>
    <w:rsid w:val="002C6170"/>
    <w:rsid w:val="0030355E"/>
    <w:rsid w:val="00351337"/>
    <w:rsid w:val="00355613"/>
    <w:rsid w:val="0037377B"/>
    <w:rsid w:val="003753CC"/>
    <w:rsid w:val="00391634"/>
    <w:rsid w:val="003C2569"/>
    <w:rsid w:val="003F53C5"/>
    <w:rsid w:val="0040678E"/>
    <w:rsid w:val="0042325D"/>
    <w:rsid w:val="0043024A"/>
    <w:rsid w:val="00434796"/>
    <w:rsid w:val="00472378"/>
    <w:rsid w:val="004A7B0E"/>
    <w:rsid w:val="004B7216"/>
    <w:rsid w:val="004C15CF"/>
    <w:rsid w:val="005260B9"/>
    <w:rsid w:val="00542CF3"/>
    <w:rsid w:val="00562164"/>
    <w:rsid w:val="00596538"/>
    <w:rsid w:val="005A04E3"/>
    <w:rsid w:val="005D215F"/>
    <w:rsid w:val="005D28C9"/>
    <w:rsid w:val="006269A0"/>
    <w:rsid w:val="00627ECF"/>
    <w:rsid w:val="00657A06"/>
    <w:rsid w:val="00672991"/>
    <w:rsid w:val="006852AA"/>
    <w:rsid w:val="006A4E30"/>
    <w:rsid w:val="006F1E76"/>
    <w:rsid w:val="006F3662"/>
    <w:rsid w:val="00753BC9"/>
    <w:rsid w:val="007C1991"/>
    <w:rsid w:val="007E4225"/>
    <w:rsid w:val="00816566"/>
    <w:rsid w:val="00822510"/>
    <w:rsid w:val="00855499"/>
    <w:rsid w:val="00866194"/>
    <w:rsid w:val="00876CD2"/>
    <w:rsid w:val="008A0528"/>
    <w:rsid w:val="008A160F"/>
    <w:rsid w:val="008A3593"/>
    <w:rsid w:val="008C18F9"/>
    <w:rsid w:val="008F1A6B"/>
    <w:rsid w:val="009331F3"/>
    <w:rsid w:val="0098439C"/>
    <w:rsid w:val="009A4C0E"/>
    <w:rsid w:val="009B0E15"/>
    <w:rsid w:val="009B4F57"/>
    <w:rsid w:val="009D1617"/>
    <w:rsid w:val="009D45C9"/>
    <w:rsid w:val="009F079E"/>
    <w:rsid w:val="009F5572"/>
    <w:rsid w:val="00A107B8"/>
    <w:rsid w:val="00A206B9"/>
    <w:rsid w:val="00A93691"/>
    <w:rsid w:val="00AB450C"/>
    <w:rsid w:val="00AD0ECA"/>
    <w:rsid w:val="00AE2FC4"/>
    <w:rsid w:val="00AE6E38"/>
    <w:rsid w:val="00AE7D4B"/>
    <w:rsid w:val="00B35B8A"/>
    <w:rsid w:val="00B64410"/>
    <w:rsid w:val="00BA0C32"/>
    <w:rsid w:val="00C0194E"/>
    <w:rsid w:val="00C37338"/>
    <w:rsid w:val="00C57A8C"/>
    <w:rsid w:val="00C96740"/>
    <w:rsid w:val="00CE5F73"/>
    <w:rsid w:val="00D263E3"/>
    <w:rsid w:val="00D33A80"/>
    <w:rsid w:val="00E03C3C"/>
    <w:rsid w:val="00E0627F"/>
    <w:rsid w:val="00E131BE"/>
    <w:rsid w:val="00E72FE4"/>
    <w:rsid w:val="00E9697D"/>
    <w:rsid w:val="00EC79C1"/>
    <w:rsid w:val="00ED4026"/>
    <w:rsid w:val="00EE1D6E"/>
    <w:rsid w:val="00F2266C"/>
    <w:rsid w:val="00F40E5D"/>
    <w:rsid w:val="00F423F0"/>
    <w:rsid w:val="00F43EB0"/>
    <w:rsid w:val="00F8108C"/>
    <w:rsid w:val="00F82E30"/>
    <w:rsid w:val="00F932A2"/>
    <w:rsid w:val="00FA490C"/>
    <w:rsid w:val="00FB40F3"/>
    <w:rsid w:val="00FF4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994617"/>
  <w15:chartTrackingRefBased/>
  <w15:docId w15:val="{08A5EFA4-79DC-4BC3-85F0-358C905F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bCs/>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8" w:unhideWhenUsed="1"/>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7"/>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051ADA"/>
    <w:pPr>
      <w:spacing w:after="120" w:line="252" w:lineRule="auto"/>
      <w:jc w:val="both"/>
    </w:pPr>
    <w:rPr>
      <w:rFonts w:ascii="Arial" w:hAnsi="Arial"/>
      <w:bCs w:val="0"/>
      <w:sz w:val="24"/>
      <w:szCs w:val="24"/>
      <w:lang w:eastAsia="en-GB"/>
    </w:rPr>
  </w:style>
  <w:style w:type="paragraph" w:styleId="Heading1">
    <w:name w:val="heading 1"/>
    <w:basedOn w:val="Normal"/>
    <w:next w:val="Normal"/>
    <w:link w:val="Heading1Char"/>
    <w:qFormat/>
    <w:rsid w:val="00A206B9"/>
    <w:pPr>
      <w:keepNext/>
      <w:keepLines/>
      <w:numPr>
        <w:numId w:val="17"/>
      </w:numPr>
      <w:outlineLvl w:val="0"/>
    </w:pPr>
    <w:rPr>
      <w:rFonts w:eastAsiaTheme="majorEastAsia" w:cstheme="majorBidi"/>
      <w:b/>
      <w:bCs/>
      <w:caps/>
      <w:kern w:val="28"/>
      <w:sz w:val="28"/>
      <w:szCs w:val="28"/>
      <w:lang w:eastAsia="en-US"/>
    </w:rPr>
  </w:style>
  <w:style w:type="paragraph" w:styleId="Heading2">
    <w:name w:val="heading 2"/>
    <w:basedOn w:val="Normal"/>
    <w:next w:val="Normal"/>
    <w:link w:val="Heading2Char"/>
    <w:uiPriority w:val="1"/>
    <w:qFormat/>
    <w:rsid w:val="00FF44A8"/>
    <w:pPr>
      <w:numPr>
        <w:ilvl w:val="1"/>
        <w:numId w:val="17"/>
      </w:numPr>
      <w:spacing w:before="240"/>
      <w:outlineLvl w:val="1"/>
    </w:pPr>
    <w:rPr>
      <w:b/>
      <w:bCs/>
      <w:sz w:val="28"/>
      <w:szCs w:val="28"/>
    </w:rPr>
  </w:style>
  <w:style w:type="paragraph" w:styleId="Heading3">
    <w:name w:val="heading 3"/>
    <w:basedOn w:val="Normal"/>
    <w:next w:val="Normal"/>
    <w:link w:val="Heading3Char"/>
    <w:uiPriority w:val="9"/>
    <w:semiHidden/>
    <w:rsid w:val="001A7B60"/>
    <w:pPr>
      <w:keepNext/>
      <w:keepLines/>
      <w:spacing w:before="120"/>
      <w:outlineLvl w:val="2"/>
    </w:pPr>
    <w:rPr>
      <w:rFonts w:eastAsiaTheme="majorEastAsia" w:cstheme="majorBidi"/>
      <w:b/>
      <w:bCs/>
      <w:color w:val="0054A4"/>
      <w:szCs w:val="22"/>
      <w:lang w:eastAsia="en-US"/>
    </w:rPr>
  </w:style>
  <w:style w:type="paragraph" w:styleId="Heading4">
    <w:name w:val="heading 4"/>
    <w:basedOn w:val="Normal"/>
    <w:next w:val="Normal"/>
    <w:link w:val="Heading4Char"/>
    <w:uiPriority w:val="9"/>
    <w:semiHidden/>
    <w:rsid w:val="001A7B6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6B9"/>
    <w:rPr>
      <w:rFonts w:ascii="Arial" w:eastAsiaTheme="majorEastAsia" w:hAnsi="Arial" w:cstheme="majorBidi"/>
      <w:b/>
      <w:caps/>
      <w:kern w:val="28"/>
      <w:sz w:val="28"/>
      <w:szCs w:val="28"/>
    </w:rPr>
  </w:style>
  <w:style w:type="character" w:customStyle="1" w:styleId="Heading2Char">
    <w:name w:val="Heading 2 Char"/>
    <w:basedOn w:val="DefaultParagraphFont"/>
    <w:link w:val="Heading2"/>
    <w:uiPriority w:val="1"/>
    <w:rsid w:val="00FF44A8"/>
    <w:rPr>
      <w:rFonts w:ascii="Arial" w:hAnsi="Arial"/>
      <w:b/>
      <w:sz w:val="28"/>
      <w:szCs w:val="28"/>
      <w:lang w:eastAsia="en-GB"/>
    </w:rPr>
  </w:style>
  <w:style w:type="paragraph" w:customStyle="1" w:styleId="TableText">
    <w:name w:val="Table Text"/>
    <w:basedOn w:val="Normal"/>
    <w:uiPriority w:val="5"/>
    <w:qFormat/>
    <w:rsid w:val="00AB450C"/>
    <w:pPr>
      <w:spacing w:after="0" w:line="240" w:lineRule="auto"/>
      <w:jc w:val="left"/>
    </w:pPr>
    <w:rPr>
      <w:bCs/>
      <w:lang w:eastAsia="en-US"/>
    </w:rPr>
  </w:style>
  <w:style w:type="paragraph" w:customStyle="1" w:styleId="TableHeaderText">
    <w:name w:val="Table Header Text"/>
    <w:basedOn w:val="Normal"/>
    <w:uiPriority w:val="5"/>
    <w:qFormat/>
    <w:rsid w:val="001A7B60"/>
    <w:pPr>
      <w:spacing w:line="240" w:lineRule="auto"/>
    </w:pPr>
    <w:rPr>
      <w:b/>
      <w:bCs/>
      <w:lang w:eastAsia="en-US"/>
    </w:rPr>
  </w:style>
  <w:style w:type="paragraph" w:customStyle="1" w:styleId="Default">
    <w:name w:val="Default"/>
    <w:uiPriority w:val="9"/>
    <w:semiHidden/>
    <w:rsid w:val="00855499"/>
    <w:pPr>
      <w:autoSpaceDE w:val="0"/>
      <w:autoSpaceDN w:val="0"/>
      <w:adjustRightInd w:val="0"/>
      <w:spacing w:after="0" w:line="240" w:lineRule="auto"/>
    </w:pPr>
    <w:rPr>
      <w:rFonts w:ascii="Arial" w:hAnsi="Arial" w:cs="Arial"/>
      <w:bCs w:val="0"/>
      <w:color w:val="000000"/>
      <w:sz w:val="24"/>
      <w:szCs w:val="24"/>
    </w:rPr>
  </w:style>
  <w:style w:type="character" w:customStyle="1" w:styleId="Heading3Char">
    <w:name w:val="Heading 3 Char"/>
    <w:basedOn w:val="DefaultParagraphFont"/>
    <w:link w:val="Heading3"/>
    <w:uiPriority w:val="9"/>
    <w:semiHidden/>
    <w:rsid w:val="00866194"/>
    <w:rPr>
      <w:rFonts w:ascii="Arial" w:eastAsiaTheme="majorEastAsia" w:hAnsi="Arial" w:cstheme="majorBidi"/>
      <w:b/>
      <w:color w:val="0054A4"/>
      <w:sz w:val="24"/>
    </w:rPr>
  </w:style>
  <w:style w:type="paragraph" w:styleId="TOC1">
    <w:name w:val="toc 1"/>
    <w:aliases w:val="Table of Contents"/>
    <w:basedOn w:val="Normal"/>
    <w:next w:val="Normal"/>
    <w:autoRedefine/>
    <w:uiPriority w:val="9"/>
    <w:rsid w:val="001A7B60"/>
    <w:pPr>
      <w:spacing w:after="100"/>
    </w:pPr>
  </w:style>
  <w:style w:type="paragraph" w:styleId="TOC2">
    <w:name w:val="toc 2"/>
    <w:basedOn w:val="Normal"/>
    <w:next w:val="Normal"/>
    <w:autoRedefine/>
    <w:uiPriority w:val="39"/>
    <w:semiHidden/>
    <w:unhideWhenUsed/>
    <w:qFormat/>
    <w:rsid w:val="001A7B60"/>
    <w:pPr>
      <w:spacing w:after="100"/>
      <w:ind w:left="240"/>
    </w:pPr>
  </w:style>
  <w:style w:type="paragraph" w:styleId="TOC3">
    <w:name w:val="toc 3"/>
    <w:basedOn w:val="Normal"/>
    <w:next w:val="Normal"/>
    <w:autoRedefine/>
    <w:uiPriority w:val="39"/>
    <w:semiHidden/>
    <w:unhideWhenUsed/>
    <w:qFormat/>
    <w:rsid w:val="001A7B60"/>
    <w:pPr>
      <w:spacing w:after="100"/>
      <w:ind w:left="440"/>
    </w:pPr>
    <w:rPr>
      <w:rFonts w:eastAsiaTheme="minorEastAsia"/>
      <w:sz w:val="22"/>
      <w:szCs w:val="22"/>
      <w:lang w:val="en-US" w:eastAsia="ja-JP"/>
    </w:rPr>
  </w:style>
  <w:style w:type="paragraph" w:styleId="FootnoteText">
    <w:name w:val="footnote text"/>
    <w:basedOn w:val="Normal"/>
    <w:link w:val="FootnoteTextChar"/>
    <w:uiPriority w:val="99"/>
    <w:semiHidden/>
    <w:unhideWhenUsed/>
    <w:rsid w:val="001A7B60"/>
    <w:rPr>
      <w:sz w:val="20"/>
      <w:szCs w:val="20"/>
    </w:rPr>
  </w:style>
  <w:style w:type="character" w:customStyle="1" w:styleId="FootnoteTextChar">
    <w:name w:val="Footnote Text Char"/>
    <w:basedOn w:val="DefaultParagraphFont"/>
    <w:link w:val="FootnoteText"/>
    <w:uiPriority w:val="99"/>
    <w:semiHidden/>
    <w:rsid w:val="001A7B60"/>
    <w:rPr>
      <w:rFonts w:ascii="Arial" w:hAnsi="Arial"/>
      <w:bCs w:val="0"/>
      <w:sz w:val="20"/>
      <w:szCs w:val="20"/>
      <w:lang w:eastAsia="en-GB"/>
    </w:rPr>
  </w:style>
  <w:style w:type="paragraph" w:styleId="CommentText">
    <w:name w:val="annotation text"/>
    <w:basedOn w:val="Normal"/>
    <w:link w:val="CommentTextChar"/>
    <w:uiPriority w:val="99"/>
    <w:unhideWhenUsed/>
    <w:rsid w:val="001A7B60"/>
    <w:rPr>
      <w:sz w:val="20"/>
      <w:szCs w:val="20"/>
    </w:rPr>
  </w:style>
  <w:style w:type="character" w:customStyle="1" w:styleId="CommentTextChar">
    <w:name w:val="Comment Text Char"/>
    <w:basedOn w:val="DefaultParagraphFont"/>
    <w:link w:val="CommentText"/>
    <w:uiPriority w:val="99"/>
    <w:rsid w:val="001A7B60"/>
    <w:rPr>
      <w:rFonts w:ascii="Arial" w:hAnsi="Arial"/>
      <w:bCs w:val="0"/>
      <w:sz w:val="20"/>
      <w:szCs w:val="20"/>
      <w:lang w:eastAsia="en-GB"/>
    </w:rPr>
  </w:style>
  <w:style w:type="paragraph" w:styleId="Header">
    <w:name w:val="header"/>
    <w:basedOn w:val="Normal"/>
    <w:link w:val="HeaderChar"/>
    <w:uiPriority w:val="99"/>
    <w:unhideWhenUsed/>
    <w:rsid w:val="001A7B60"/>
    <w:pPr>
      <w:tabs>
        <w:tab w:val="center" w:pos="4513"/>
        <w:tab w:val="right" w:pos="9026"/>
      </w:tabs>
    </w:pPr>
  </w:style>
  <w:style w:type="character" w:customStyle="1" w:styleId="HeaderChar">
    <w:name w:val="Header Char"/>
    <w:basedOn w:val="DefaultParagraphFont"/>
    <w:link w:val="Header"/>
    <w:uiPriority w:val="99"/>
    <w:rsid w:val="001A7B60"/>
    <w:rPr>
      <w:rFonts w:ascii="Arial" w:hAnsi="Arial"/>
      <w:bCs w:val="0"/>
      <w:sz w:val="24"/>
      <w:szCs w:val="24"/>
      <w:lang w:eastAsia="en-GB"/>
    </w:rPr>
  </w:style>
  <w:style w:type="paragraph" w:styleId="Footer">
    <w:name w:val="footer"/>
    <w:basedOn w:val="Normal"/>
    <w:link w:val="FooterChar"/>
    <w:uiPriority w:val="99"/>
    <w:unhideWhenUsed/>
    <w:rsid w:val="001A7B60"/>
    <w:pPr>
      <w:tabs>
        <w:tab w:val="center" w:pos="4513"/>
        <w:tab w:val="right" w:pos="9026"/>
      </w:tabs>
    </w:pPr>
  </w:style>
  <w:style w:type="character" w:customStyle="1" w:styleId="FooterChar">
    <w:name w:val="Footer Char"/>
    <w:basedOn w:val="DefaultParagraphFont"/>
    <w:link w:val="Footer"/>
    <w:uiPriority w:val="99"/>
    <w:rsid w:val="001A7B60"/>
    <w:rPr>
      <w:rFonts w:ascii="Arial" w:hAnsi="Arial"/>
      <w:bCs w:val="0"/>
      <w:sz w:val="24"/>
      <w:szCs w:val="24"/>
      <w:lang w:eastAsia="en-GB"/>
    </w:rPr>
  </w:style>
  <w:style w:type="character" w:styleId="FootnoteReference">
    <w:name w:val="footnote reference"/>
    <w:basedOn w:val="DefaultParagraphFont"/>
    <w:uiPriority w:val="99"/>
    <w:semiHidden/>
    <w:unhideWhenUsed/>
    <w:rsid w:val="001A7B60"/>
    <w:rPr>
      <w:vertAlign w:val="superscript"/>
    </w:rPr>
  </w:style>
  <w:style w:type="character" w:styleId="CommentReference">
    <w:name w:val="annotation reference"/>
    <w:basedOn w:val="DefaultParagraphFont"/>
    <w:uiPriority w:val="99"/>
    <w:semiHidden/>
    <w:unhideWhenUsed/>
    <w:rsid w:val="001A7B60"/>
    <w:rPr>
      <w:sz w:val="16"/>
      <w:szCs w:val="16"/>
    </w:rPr>
  </w:style>
  <w:style w:type="paragraph" w:styleId="Title">
    <w:name w:val="Title"/>
    <w:basedOn w:val="Normal"/>
    <w:next w:val="Normal"/>
    <w:link w:val="TitleChar"/>
    <w:uiPriority w:val="7"/>
    <w:qFormat/>
    <w:rsid w:val="00542CF3"/>
    <w:pPr>
      <w:spacing w:line="240" w:lineRule="auto"/>
      <w:contextualSpacing/>
      <w:jc w:val="right"/>
    </w:pPr>
    <w:rPr>
      <w:b/>
      <w:bCs/>
      <w:sz w:val="32"/>
      <w:szCs w:val="32"/>
    </w:rPr>
  </w:style>
  <w:style w:type="character" w:customStyle="1" w:styleId="TitleChar">
    <w:name w:val="Title Char"/>
    <w:basedOn w:val="DefaultParagraphFont"/>
    <w:link w:val="Title"/>
    <w:uiPriority w:val="7"/>
    <w:rsid w:val="00542CF3"/>
    <w:rPr>
      <w:rFonts w:ascii="Arial" w:hAnsi="Arial"/>
      <w:b/>
      <w:sz w:val="32"/>
      <w:szCs w:val="32"/>
      <w:lang w:eastAsia="en-GB"/>
    </w:rPr>
  </w:style>
  <w:style w:type="paragraph" w:styleId="BodyText">
    <w:name w:val="Body Text"/>
    <w:basedOn w:val="Normal"/>
    <w:link w:val="BodyTextChar"/>
    <w:uiPriority w:val="9"/>
    <w:semiHidden/>
    <w:rsid w:val="001A7B60"/>
    <w:pPr>
      <w:suppressAutoHyphens/>
    </w:pPr>
    <w:rPr>
      <w:rFonts w:eastAsia="Times New Roman" w:cs="Times New Roman"/>
      <w:szCs w:val="20"/>
      <w:lang w:eastAsia="ar-SA"/>
    </w:rPr>
  </w:style>
  <w:style w:type="character" w:customStyle="1" w:styleId="BodyTextChar">
    <w:name w:val="Body Text Char"/>
    <w:basedOn w:val="DefaultParagraphFont"/>
    <w:link w:val="BodyText"/>
    <w:uiPriority w:val="9"/>
    <w:semiHidden/>
    <w:rsid w:val="00866194"/>
    <w:rPr>
      <w:rFonts w:ascii="Arial" w:eastAsia="Times New Roman" w:hAnsi="Arial" w:cs="Times New Roman"/>
      <w:bCs w:val="0"/>
      <w:sz w:val="24"/>
      <w:szCs w:val="20"/>
      <w:lang w:eastAsia="ar-SA"/>
    </w:rPr>
  </w:style>
  <w:style w:type="character" w:styleId="Hyperlink">
    <w:name w:val="Hyperlink"/>
    <w:basedOn w:val="DefaultParagraphFont"/>
    <w:uiPriority w:val="6"/>
    <w:qFormat/>
    <w:rsid w:val="001A7B60"/>
    <w:rPr>
      <w:color w:val="0054A4"/>
      <w:u w:val="single"/>
    </w:rPr>
  </w:style>
  <w:style w:type="character" w:styleId="FollowedHyperlink">
    <w:name w:val="FollowedHyperlink"/>
    <w:basedOn w:val="DefaultParagraphFont"/>
    <w:uiPriority w:val="99"/>
    <w:semiHidden/>
    <w:unhideWhenUsed/>
    <w:rsid w:val="001A7B60"/>
    <w:rPr>
      <w:color w:val="954F72" w:themeColor="followedHyperlink"/>
      <w:u w:val="single"/>
    </w:rPr>
  </w:style>
  <w:style w:type="character" w:styleId="Strong">
    <w:name w:val="Strong"/>
    <w:basedOn w:val="DefaultParagraphFont"/>
    <w:uiPriority w:val="22"/>
    <w:rsid w:val="001A7B60"/>
    <w:rPr>
      <w:b/>
      <w:bCs w:val="0"/>
    </w:rPr>
  </w:style>
  <w:style w:type="paragraph" w:styleId="NormalWeb">
    <w:name w:val="Normal (Web)"/>
    <w:basedOn w:val="Normal"/>
    <w:uiPriority w:val="99"/>
    <w:semiHidden/>
    <w:unhideWhenUsed/>
    <w:rsid w:val="001A7B60"/>
    <w:pPr>
      <w:spacing w:after="240"/>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A7B60"/>
    <w:rPr>
      <w:b/>
      <w:bCs/>
    </w:rPr>
  </w:style>
  <w:style w:type="character" w:customStyle="1" w:styleId="CommentSubjectChar">
    <w:name w:val="Comment Subject Char"/>
    <w:basedOn w:val="CommentTextChar"/>
    <w:link w:val="CommentSubject"/>
    <w:uiPriority w:val="99"/>
    <w:semiHidden/>
    <w:rsid w:val="001A7B60"/>
    <w:rPr>
      <w:rFonts w:ascii="Arial" w:hAnsi="Arial"/>
      <w:b/>
      <w:bCs/>
      <w:sz w:val="20"/>
      <w:szCs w:val="20"/>
      <w:lang w:eastAsia="en-GB"/>
    </w:rPr>
  </w:style>
  <w:style w:type="paragraph" w:styleId="BalloonText">
    <w:name w:val="Balloon Text"/>
    <w:basedOn w:val="Normal"/>
    <w:link w:val="BalloonTextChar"/>
    <w:uiPriority w:val="99"/>
    <w:semiHidden/>
    <w:unhideWhenUsed/>
    <w:rsid w:val="001A7B60"/>
    <w:rPr>
      <w:rFonts w:ascii="Tahoma" w:hAnsi="Tahoma" w:cs="Tahoma"/>
      <w:sz w:val="16"/>
      <w:szCs w:val="16"/>
    </w:rPr>
  </w:style>
  <w:style w:type="character" w:customStyle="1" w:styleId="BalloonTextChar">
    <w:name w:val="Balloon Text Char"/>
    <w:basedOn w:val="DefaultParagraphFont"/>
    <w:link w:val="BalloonText"/>
    <w:uiPriority w:val="99"/>
    <w:semiHidden/>
    <w:rsid w:val="001A7B60"/>
    <w:rPr>
      <w:rFonts w:ascii="Tahoma" w:hAnsi="Tahoma" w:cs="Tahoma"/>
      <w:bCs w:val="0"/>
      <w:sz w:val="16"/>
      <w:szCs w:val="16"/>
      <w:lang w:eastAsia="en-GB"/>
    </w:rPr>
  </w:style>
  <w:style w:type="table" w:styleId="TableGrid">
    <w:name w:val="Table Grid"/>
    <w:basedOn w:val="TableNormal"/>
    <w:rsid w:val="001A7B60"/>
    <w:pPr>
      <w:spacing w:after="0" w:line="240" w:lineRule="auto"/>
    </w:pPr>
    <w:rPr>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style>
  <w:style w:type="character" w:styleId="PlaceholderText">
    <w:name w:val="Placeholder Text"/>
    <w:basedOn w:val="DefaultParagraphFont"/>
    <w:uiPriority w:val="99"/>
    <w:semiHidden/>
    <w:rsid w:val="001A7B60"/>
    <w:rPr>
      <w:color w:val="808080"/>
    </w:rPr>
  </w:style>
  <w:style w:type="paragraph" w:styleId="ListParagraph">
    <w:name w:val="List Paragraph"/>
    <w:basedOn w:val="Normal"/>
    <w:link w:val="ListParagraphChar"/>
    <w:uiPriority w:val="34"/>
    <w:rsid w:val="001A7B60"/>
    <w:pPr>
      <w:ind w:left="720"/>
      <w:contextualSpacing/>
    </w:pPr>
  </w:style>
  <w:style w:type="paragraph" w:styleId="TOCHeading">
    <w:name w:val="TOC Heading"/>
    <w:basedOn w:val="Heading1"/>
    <w:next w:val="Normal"/>
    <w:uiPriority w:val="39"/>
    <w:semiHidden/>
    <w:unhideWhenUsed/>
    <w:qFormat/>
    <w:rsid w:val="001A7B60"/>
    <w:pPr>
      <w:outlineLvl w:val="9"/>
    </w:pPr>
    <w:rPr>
      <w:lang w:val="en-US" w:eastAsia="ja-JP"/>
    </w:rPr>
  </w:style>
  <w:style w:type="table" w:styleId="PlainTable2">
    <w:name w:val="Plain Table 2"/>
    <w:basedOn w:val="TableNormal"/>
    <w:uiPriority w:val="42"/>
    <w:rsid w:val="001A7B60"/>
    <w:pPr>
      <w:spacing w:after="0" w:line="240" w:lineRule="auto"/>
    </w:pPr>
    <w:rPr>
      <w:bCs w:val="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A7B60"/>
    <w:pPr>
      <w:spacing w:after="0" w:line="240" w:lineRule="auto"/>
    </w:pPr>
    <w:rPr>
      <w:bCs w:val="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1A7B60"/>
    <w:pPr>
      <w:spacing w:after="0" w:line="240" w:lineRule="auto"/>
    </w:pPr>
    <w:rPr>
      <w:bCs w:val="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ullets">
    <w:name w:val="Bullets"/>
    <w:basedOn w:val="Normal"/>
    <w:link w:val="BulletsChar"/>
    <w:uiPriority w:val="4"/>
    <w:qFormat/>
    <w:rsid w:val="00866194"/>
    <w:pPr>
      <w:numPr>
        <w:ilvl w:val="4"/>
        <w:numId w:val="17"/>
      </w:numPr>
    </w:pPr>
    <w:rPr>
      <w:lang w:eastAsia="en-US"/>
    </w:rPr>
  </w:style>
  <w:style w:type="character" w:customStyle="1" w:styleId="Heading4Char">
    <w:name w:val="Heading 4 Char"/>
    <w:basedOn w:val="DefaultParagraphFont"/>
    <w:link w:val="Heading4"/>
    <w:uiPriority w:val="9"/>
    <w:semiHidden/>
    <w:rsid w:val="001A7B60"/>
    <w:rPr>
      <w:rFonts w:asciiTheme="majorHAnsi" w:eastAsiaTheme="majorEastAsia" w:hAnsiTheme="majorHAnsi" w:cstheme="majorBidi"/>
      <w:bCs w:val="0"/>
      <w:i/>
      <w:iCs/>
      <w:color w:val="2F5496" w:themeColor="accent1" w:themeShade="BF"/>
      <w:sz w:val="24"/>
      <w:szCs w:val="24"/>
      <w:lang w:eastAsia="en-GB"/>
    </w:rPr>
  </w:style>
  <w:style w:type="paragraph" w:styleId="Quote">
    <w:name w:val="Quote"/>
    <w:basedOn w:val="Normal"/>
    <w:next w:val="Normal"/>
    <w:link w:val="QuoteChar"/>
    <w:uiPriority w:val="9"/>
    <w:rsid w:val="001A7B60"/>
    <w:pPr>
      <w:ind w:left="454"/>
    </w:pPr>
    <w:rPr>
      <w:i/>
      <w:iCs/>
      <w:lang w:eastAsia="en-US"/>
    </w:rPr>
  </w:style>
  <w:style w:type="character" w:customStyle="1" w:styleId="QuoteChar">
    <w:name w:val="Quote Char"/>
    <w:basedOn w:val="DefaultParagraphFont"/>
    <w:link w:val="Quote"/>
    <w:uiPriority w:val="9"/>
    <w:rsid w:val="00866194"/>
    <w:rPr>
      <w:rFonts w:ascii="Arial" w:hAnsi="Arial"/>
      <w:bCs w:val="0"/>
      <w:i/>
      <w:iCs/>
      <w:sz w:val="24"/>
      <w:szCs w:val="24"/>
    </w:rPr>
  </w:style>
  <w:style w:type="paragraph" w:customStyle="1" w:styleId="AppendicesHeading1">
    <w:name w:val="Appendices Heading 1"/>
    <w:next w:val="Normal"/>
    <w:link w:val="AppendicesHeading1Char"/>
    <w:uiPriority w:val="9"/>
    <w:rsid w:val="001A7B60"/>
    <w:pPr>
      <w:numPr>
        <w:ilvl w:val="1"/>
        <w:numId w:val="15"/>
      </w:numPr>
      <w:ind w:left="454" w:hanging="454"/>
    </w:pPr>
    <w:rPr>
      <w:rFonts w:ascii="Arial" w:eastAsiaTheme="majorEastAsia" w:hAnsi="Arial" w:cstheme="majorBidi"/>
      <w:b/>
      <w:bCs w:val="0"/>
      <w:iCs/>
      <w:color w:val="0054A4"/>
      <w:sz w:val="24"/>
      <w:szCs w:val="28"/>
    </w:rPr>
  </w:style>
  <w:style w:type="character" w:customStyle="1" w:styleId="AppendicesHeading1Char">
    <w:name w:val="Appendices Heading 1 Char"/>
    <w:basedOn w:val="Heading2Char"/>
    <w:link w:val="AppendicesHeading1"/>
    <w:uiPriority w:val="9"/>
    <w:rsid w:val="00866194"/>
    <w:rPr>
      <w:rFonts w:ascii="Arial" w:eastAsiaTheme="majorEastAsia" w:hAnsi="Arial" w:cstheme="majorBidi"/>
      <w:b/>
      <w:bCs w:val="0"/>
      <w:iCs/>
      <w:color w:val="0054A4"/>
      <w:sz w:val="24"/>
      <w:szCs w:val="28"/>
      <w:lang w:eastAsia="en-GB"/>
    </w:rPr>
  </w:style>
  <w:style w:type="paragraph" w:customStyle="1" w:styleId="Appendix">
    <w:name w:val="Appendix"/>
    <w:basedOn w:val="Normal"/>
    <w:link w:val="AppendixChar"/>
    <w:uiPriority w:val="9"/>
    <w:rsid w:val="001A7B60"/>
    <w:rPr>
      <w:color w:val="0054A4"/>
      <w:sz w:val="32"/>
      <w:szCs w:val="32"/>
    </w:rPr>
  </w:style>
  <w:style w:type="character" w:customStyle="1" w:styleId="AppendixChar">
    <w:name w:val="Appendix Char"/>
    <w:basedOn w:val="DefaultParagraphFont"/>
    <w:link w:val="Appendix"/>
    <w:uiPriority w:val="9"/>
    <w:rsid w:val="00866194"/>
    <w:rPr>
      <w:rFonts w:ascii="Arial" w:hAnsi="Arial"/>
      <w:bCs w:val="0"/>
      <w:color w:val="0054A4"/>
      <w:sz w:val="32"/>
      <w:szCs w:val="32"/>
      <w:lang w:eastAsia="en-GB"/>
    </w:rPr>
  </w:style>
  <w:style w:type="character" w:styleId="UnresolvedMention">
    <w:name w:val="Unresolved Mention"/>
    <w:basedOn w:val="DefaultParagraphFont"/>
    <w:uiPriority w:val="99"/>
    <w:semiHidden/>
    <w:unhideWhenUsed/>
    <w:rsid w:val="001A7B60"/>
    <w:rPr>
      <w:color w:val="605E5C"/>
      <w:shd w:val="clear" w:color="auto" w:fill="E1DFDD"/>
    </w:rPr>
  </w:style>
  <w:style w:type="paragraph" w:customStyle="1" w:styleId="Clause">
    <w:name w:val="Clause"/>
    <w:basedOn w:val="ListParagraph"/>
    <w:link w:val="ClauseChar"/>
    <w:uiPriority w:val="3"/>
    <w:qFormat/>
    <w:rsid w:val="00FF44A8"/>
    <w:pPr>
      <w:numPr>
        <w:ilvl w:val="2"/>
        <w:numId w:val="17"/>
      </w:numPr>
      <w:contextualSpacing w:val="0"/>
    </w:pPr>
  </w:style>
  <w:style w:type="paragraph" w:customStyle="1" w:styleId="Sub-clause">
    <w:name w:val="Sub-clause"/>
    <w:basedOn w:val="Clause"/>
    <w:link w:val="Sub-clauseChar"/>
    <w:uiPriority w:val="3"/>
    <w:qFormat/>
    <w:rsid w:val="00866194"/>
    <w:pPr>
      <w:numPr>
        <w:ilvl w:val="3"/>
      </w:numPr>
    </w:pPr>
  </w:style>
  <w:style w:type="character" w:customStyle="1" w:styleId="ListParagraphChar">
    <w:name w:val="List Paragraph Char"/>
    <w:basedOn w:val="DefaultParagraphFont"/>
    <w:link w:val="ListParagraph"/>
    <w:uiPriority w:val="34"/>
    <w:rsid w:val="00F2266C"/>
    <w:rPr>
      <w:rFonts w:ascii="Arial" w:hAnsi="Arial"/>
      <w:bCs w:val="0"/>
      <w:sz w:val="24"/>
      <w:szCs w:val="24"/>
      <w:lang w:eastAsia="en-GB"/>
    </w:rPr>
  </w:style>
  <w:style w:type="character" w:customStyle="1" w:styleId="ClauseChar">
    <w:name w:val="Clause Char"/>
    <w:basedOn w:val="ListParagraphChar"/>
    <w:link w:val="Clause"/>
    <w:uiPriority w:val="3"/>
    <w:rsid w:val="00FF44A8"/>
    <w:rPr>
      <w:rFonts w:ascii="Arial" w:hAnsi="Arial"/>
      <w:bCs w:val="0"/>
      <w:sz w:val="24"/>
      <w:szCs w:val="24"/>
      <w:lang w:eastAsia="en-GB"/>
    </w:rPr>
  </w:style>
  <w:style w:type="character" w:customStyle="1" w:styleId="Sub-clauseChar">
    <w:name w:val="Sub-clause Char"/>
    <w:basedOn w:val="ClauseChar"/>
    <w:link w:val="Sub-clause"/>
    <w:uiPriority w:val="3"/>
    <w:rsid w:val="00866194"/>
    <w:rPr>
      <w:rFonts w:ascii="Arial" w:hAnsi="Arial"/>
      <w:bCs w:val="0"/>
      <w:sz w:val="24"/>
      <w:szCs w:val="24"/>
      <w:lang w:eastAsia="en-GB"/>
    </w:rPr>
  </w:style>
  <w:style w:type="paragraph" w:customStyle="1" w:styleId="Sub-bullet">
    <w:name w:val="Sub-bullet"/>
    <w:basedOn w:val="Bullets"/>
    <w:link w:val="Sub-bulletChar"/>
    <w:uiPriority w:val="4"/>
    <w:qFormat/>
    <w:rsid w:val="00051ADA"/>
    <w:pPr>
      <w:numPr>
        <w:ilvl w:val="5"/>
      </w:numPr>
    </w:pPr>
  </w:style>
  <w:style w:type="character" w:customStyle="1" w:styleId="BulletsChar">
    <w:name w:val="Bullets Char"/>
    <w:basedOn w:val="DefaultParagraphFont"/>
    <w:link w:val="Bullets"/>
    <w:uiPriority w:val="4"/>
    <w:rsid w:val="00051ADA"/>
    <w:rPr>
      <w:rFonts w:ascii="Arial" w:hAnsi="Arial"/>
      <w:bCs w:val="0"/>
      <w:sz w:val="24"/>
      <w:szCs w:val="24"/>
    </w:rPr>
  </w:style>
  <w:style w:type="character" w:customStyle="1" w:styleId="Sub-bulletChar">
    <w:name w:val="Sub-bullet Char"/>
    <w:basedOn w:val="BulletsChar"/>
    <w:link w:val="Sub-bullet"/>
    <w:uiPriority w:val="4"/>
    <w:rsid w:val="00051ADA"/>
    <w:rPr>
      <w:rFonts w:ascii="Arial" w:hAnsi="Arial"/>
      <w:bCs w:val="0"/>
      <w:sz w:val="24"/>
      <w:szCs w:val="24"/>
    </w:rPr>
  </w:style>
  <w:style w:type="paragraph" w:styleId="Revision">
    <w:name w:val="Revision"/>
    <w:hidden/>
    <w:uiPriority w:val="99"/>
    <w:semiHidden/>
    <w:rsid w:val="00E131BE"/>
    <w:pPr>
      <w:spacing w:after="0" w:line="240" w:lineRule="auto"/>
    </w:pPr>
    <w:rPr>
      <w:rFonts w:ascii="Arial" w:hAnsi="Arial"/>
      <w:bCs w:val="0"/>
      <w:sz w:val="24"/>
      <w:szCs w:val="24"/>
      <w:lang w:eastAsia="en-GB"/>
    </w:rPr>
  </w:style>
  <w:style w:type="table" w:styleId="PlainTable1">
    <w:name w:val="Plain Table 1"/>
    <w:basedOn w:val="TableNormal"/>
    <w:uiPriority w:val="41"/>
    <w:rsid w:val="005260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2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gloucestershir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dpr-info.eu/art-89-gdp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ersion_x0020_Number xmlns="07cb0ae7-4148-4484-a5b9-1e8e812e71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GISPA Correspondence" ma:contentTypeID="0x0101004DC5445DEEA385468729144891FC9E030059ED3D347547FD419439078A7FE2FAE8" ma:contentTypeVersion="5" ma:contentTypeDescription="" ma:contentTypeScope="" ma:versionID="e10f496ef72d321fd963f469d3b1a796">
  <xsd:schema xmlns:xsd="http://www.w3.org/2001/XMLSchema" xmlns:xs="http://www.w3.org/2001/XMLSchema" xmlns:p="http://schemas.microsoft.com/office/2006/metadata/properties" xmlns:ns2="07cb0ae7-4148-4484-a5b9-1e8e812e7102" targetNamespace="http://schemas.microsoft.com/office/2006/metadata/properties" ma:root="true" ma:fieldsID="346fd3381a7f5df290194ec43b83ee48" ns2:_="">
    <xsd:import namespace="07cb0ae7-4148-4484-a5b9-1e8e812e7102"/>
    <xsd:element name="properties">
      <xsd:complexType>
        <xsd:sequence>
          <xsd:element name="documentManagement">
            <xsd:complexType>
              <xsd:all>
                <xsd:element ref="ns2:Version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Version_x0020_Number" ma:index="8" nillable="true" ma:displayName="Version Number" ma:default="" ma:internalName="Version_x0020_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dc966fa-4138-4b9c-b0e4-0cfe5a192035" ContentTypeId="0x0101004DC5445DEEA385468729144891FC9E03"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8D163-C30B-45B7-A961-8E973C031EB6}">
  <ds:schemaRefs>
    <ds:schemaRef ds:uri="http://schemas.openxmlformats.org/officeDocument/2006/bibliography"/>
  </ds:schemaRefs>
</ds:datastoreItem>
</file>

<file path=customXml/itemProps2.xml><?xml version="1.0" encoding="utf-8"?>
<ds:datastoreItem xmlns:ds="http://schemas.openxmlformats.org/officeDocument/2006/customXml" ds:itemID="{88D7F076-FBD5-47A9-B69D-22BAFB150EA6}">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fedb8948-1cbb-4661-b0f6-8221dbdc1784"/>
    <ds:schemaRef ds:uri="http://purl.org/dc/elements/1.1/"/>
    <ds:schemaRef ds:uri="http://schemas.openxmlformats.org/package/2006/metadata/core-properties"/>
    <ds:schemaRef ds:uri="http://www.w3.org/XML/1998/namespace"/>
    <ds:schemaRef ds:uri="http://purl.org/dc/dcmitype/"/>
    <ds:schemaRef ds:uri="07cb0ae7-4148-4484-a5b9-1e8e812e7102"/>
  </ds:schemaRefs>
</ds:datastoreItem>
</file>

<file path=customXml/itemProps3.xml><?xml version="1.0" encoding="utf-8"?>
<ds:datastoreItem xmlns:ds="http://schemas.openxmlformats.org/officeDocument/2006/customXml" ds:itemID="{6FCB6AA8-190E-4547-B7DB-D87698D40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b0ae7-4148-4484-a5b9-1e8e812e7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C9D80-A5AA-44A4-B580-FD1F306E6322}">
  <ds:schemaRefs>
    <ds:schemaRef ds:uri="Microsoft.SharePoint.Taxonomy.ContentTypeSync"/>
  </ds:schemaRefs>
</ds:datastoreItem>
</file>

<file path=customXml/itemProps5.xml><?xml version="1.0" encoding="utf-8"?>
<ds:datastoreItem xmlns:ds="http://schemas.openxmlformats.org/officeDocument/2006/customXml" ds:itemID="{87348DCF-485C-4791-8DD6-54DD54A8A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5867</Words>
  <Characters>33445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VERNON, Zoe</dc:creator>
  <cp:keywords/>
  <dc:description/>
  <cp:lastModifiedBy>VERNON, Zoe</cp:lastModifiedBy>
  <cp:revision>46</cp:revision>
  <dcterms:created xsi:type="dcterms:W3CDTF">2023-11-01T15:12:00Z</dcterms:created>
  <dcterms:modified xsi:type="dcterms:W3CDTF">2024-12-13T15:02:00Z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0x0101004DC5445DEEA385468729144891FC9E030059ED3D347547FD419439078A7FE2FAE8</vt:lpwstr>
  </property>
  <property fmtid="{D5CDD505-2E9C-101B-9397-08002B2CF9AE}" pid="3" name="Order">
    <vt:r8>157800</vt:r8>
  </property>
  <property fmtid="{D5CDD505-2E9C-101B-9397-08002B2CF9AE}" pid="4" name="ClassificationContentMarkingHeaderShapeIds">
    <vt:lpwstr>2fc76dcb,5b50e9ac,4c8d76ee</vt:lpwstr>
  </property>
  <property fmtid="{D5CDD505-2E9C-101B-9397-08002B2CF9AE}" pid="5" name="ClassificationContentMarkingHeaderFontProps">
    <vt:lpwstr>#000000,10,Calibri</vt:lpwstr>
  </property>
  <property fmtid="{D5CDD505-2E9C-101B-9397-08002B2CF9AE}" pid="6" name="ClassificationContentMarkingHeaderText">
    <vt:lpwstr>Official - Commercial</vt:lpwstr>
  </property>
  <property fmtid="{D5CDD505-2E9C-101B-9397-08002B2CF9AE}" pid="7" name="MSIP_Label_0ba8ec20-389e-43ec-b874-6d4fe5ed6328_Enabled">
    <vt:lpwstr>true</vt:lpwstr>
  </property>
  <property fmtid="{D5CDD505-2E9C-101B-9397-08002B2CF9AE}" pid="8" name="MSIP_Label_0ba8ec20-389e-43ec-b874-6d4fe5ed6328_SetDate">
    <vt:lpwstr>2023-11-01T14:56:35Z</vt:lpwstr>
  </property>
  <property fmtid="{D5CDD505-2E9C-101B-9397-08002B2CF9AE}" pid="9" name="MSIP_Label_0ba8ec20-389e-43ec-b874-6d4fe5ed6328_Method">
    <vt:lpwstr>Standard</vt:lpwstr>
  </property>
  <property fmtid="{D5CDD505-2E9C-101B-9397-08002B2CF9AE}" pid="10" name="MSIP_Label_0ba8ec20-389e-43ec-b874-6d4fe5ed6328_Name">
    <vt:lpwstr>Official - Official Commercial</vt:lpwstr>
  </property>
  <property fmtid="{D5CDD505-2E9C-101B-9397-08002B2CF9AE}" pid="11" name="MSIP_Label_0ba8ec20-389e-43ec-b874-6d4fe5ed6328_SiteId">
    <vt:lpwstr>5faec754-64e3-4014-9bcc-e72fc73ba312</vt:lpwstr>
  </property>
  <property fmtid="{D5CDD505-2E9C-101B-9397-08002B2CF9AE}" pid="12" name="MSIP_Label_0ba8ec20-389e-43ec-b874-6d4fe5ed6328_ActionId">
    <vt:lpwstr>a4c26210-2215-4180-942d-a1df5877e8e6</vt:lpwstr>
  </property>
  <property fmtid="{D5CDD505-2E9C-101B-9397-08002B2CF9AE}" pid="13" name="MSIP_Label_0ba8ec20-389e-43ec-b874-6d4fe5ed6328_ContentBits">
    <vt:lpwstr>1</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