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95" w:rsidRDefault="00F00D95" w:rsidP="00BF2862">
      <w:pPr>
        <w:ind w:left="1440" w:firstLine="720"/>
        <w:rPr>
          <w:rFonts w:ascii="Arial" w:hAnsi="Arial" w:cs="Arial"/>
          <w:b/>
          <w:color w:val="000000" w:themeColor="text1"/>
        </w:rPr>
      </w:pPr>
    </w:p>
    <w:p w:rsidR="00BF2862" w:rsidRDefault="00BF2862" w:rsidP="00E1419D">
      <w:pPr>
        <w:ind w:firstLine="720"/>
        <w:rPr>
          <w:rFonts w:ascii="Arial" w:hAnsi="Arial" w:cs="Arial"/>
          <w:b/>
          <w:color w:val="000000" w:themeColor="text1"/>
        </w:rPr>
      </w:pPr>
      <w:r w:rsidRPr="00E1419D">
        <w:rPr>
          <w:rFonts w:ascii="Arial" w:hAnsi="Arial" w:cs="Arial"/>
          <w:b/>
          <w:color w:val="000000" w:themeColor="text1"/>
        </w:rPr>
        <w:t xml:space="preserve">Reporting Medication Errors </w:t>
      </w:r>
      <w:r w:rsidR="00180832">
        <w:rPr>
          <w:rFonts w:ascii="Arial" w:hAnsi="Arial" w:cs="Arial"/>
          <w:b/>
          <w:color w:val="000000" w:themeColor="text1"/>
        </w:rPr>
        <w:t xml:space="preserve">Guidelines </w:t>
      </w:r>
      <w:r w:rsidR="00F00D95" w:rsidRPr="00E1419D">
        <w:rPr>
          <w:rFonts w:ascii="Arial" w:hAnsi="Arial" w:cs="Arial"/>
          <w:b/>
          <w:color w:val="000000" w:themeColor="text1"/>
        </w:rPr>
        <w:t xml:space="preserve">in </w:t>
      </w:r>
      <w:r w:rsidR="00180832">
        <w:rPr>
          <w:rFonts w:ascii="Arial" w:hAnsi="Arial" w:cs="Arial"/>
          <w:b/>
          <w:color w:val="000000" w:themeColor="text1"/>
        </w:rPr>
        <w:t>Adult S</w:t>
      </w:r>
      <w:r w:rsidR="00F00D95" w:rsidRPr="00E1419D">
        <w:rPr>
          <w:rFonts w:ascii="Arial" w:hAnsi="Arial" w:cs="Arial"/>
          <w:b/>
          <w:color w:val="000000" w:themeColor="text1"/>
        </w:rPr>
        <w:t>ervices</w:t>
      </w:r>
      <w:r w:rsidR="00E1419D" w:rsidRPr="00E1419D">
        <w:rPr>
          <w:rFonts w:ascii="Arial" w:hAnsi="Arial" w:cs="Arial"/>
          <w:b/>
          <w:color w:val="000000" w:themeColor="text1"/>
        </w:rPr>
        <w:t xml:space="preserve"> </w:t>
      </w:r>
    </w:p>
    <w:p w:rsidR="00180832" w:rsidRDefault="00180832" w:rsidP="00180832">
      <w:pPr>
        <w:ind w:firstLine="72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(Disabilities &amp; Older People)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FB4440" w:rsidTr="00FB4440">
        <w:tc>
          <w:tcPr>
            <w:tcW w:w="1809" w:type="dxa"/>
          </w:tcPr>
          <w:p w:rsidR="00FB4440" w:rsidRDefault="00FB4440" w:rsidP="00FB444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Date:</w:t>
            </w:r>
          </w:p>
        </w:tc>
        <w:tc>
          <w:tcPr>
            <w:tcW w:w="7433" w:type="dxa"/>
          </w:tcPr>
          <w:p w:rsidR="00FB4440" w:rsidRDefault="00FB4440" w:rsidP="00FB444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24</w:t>
            </w:r>
            <w:r w:rsidRPr="00FB4440">
              <w:rPr>
                <w:rFonts w:ascii="Arial" w:hAnsi="Arial" w:cs="Arial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May 2016</w:t>
            </w:r>
          </w:p>
        </w:tc>
      </w:tr>
      <w:tr w:rsidR="00FB4440" w:rsidTr="00FB4440">
        <w:tc>
          <w:tcPr>
            <w:tcW w:w="1809" w:type="dxa"/>
          </w:tcPr>
          <w:p w:rsidR="00FB4440" w:rsidRDefault="00FB4440" w:rsidP="00FB444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Author:</w:t>
            </w:r>
          </w:p>
        </w:tc>
        <w:tc>
          <w:tcPr>
            <w:tcW w:w="7433" w:type="dxa"/>
          </w:tcPr>
          <w:p w:rsidR="00FB4440" w:rsidRDefault="00FB4440" w:rsidP="00FB444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Chris Haynes, Joint Commissioner for Learning Disabilities</w:t>
            </w:r>
          </w:p>
        </w:tc>
      </w:tr>
    </w:tbl>
    <w:p w:rsidR="00FB4440" w:rsidRPr="00E1419D" w:rsidRDefault="00FB4440" w:rsidP="00FB4440">
      <w:pPr>
        <w:rPr>
          <w:rFonts w:ascii="Arial" w:hAnsi="Arial" w:cs="Arial"/>
          <w:b/>
          <w:color w:val="000000" w:themeColor="text1"/>
        </w:rPr>
      </w:pPr>
    </w:p>
    <w:p w:rsidR="007741B5" w:rsidRPr="004428EE" w:rsidRDefault="007741B5" w:rsidP="007741B5">
      <w:pPr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  <w:u w:val="single"/>
        </w:rPr>
        <w:t>Purpose of th</w:t>
      </w:r>
      <w:r w:rsidR="00180832">
        <w:rPr>
          <w:rFonts w:ascii="Arial" w:hAnsi="Arial" w:cs="Arial"/>
          <w:b/>
          <w:sz w:val="23"/>
          <w:szCs w:val="23"/>
          <w:u w:val="single"/>
        </w:rPr>
        <w:t>ese Guidelines</w:t>
      </w:r>
    </w:p>
    <w:p w:rsidR="007741B5" w:rsidRPr="00E1419D" w:rsidRDefault="007741B5" w:rsidP="007741B5">
      <w:pPr>
        <w:rPr>
          <w:rFonts w:ascii="Arial" w:hAnsi="Arial" w:cs="Arial"/>
          <w:sz w:val="23"/>
          <w:szCs w:val="23"/>
        </w:rPr>
      </w:pPr>
      <w:r w:rsidRPr="00E1419D">
        <w:rPr>
          <w:rFonts w:ascii="Arial" w:hAnsi="Arial" w:cs="Arial"/>
          <w:sz w:val="23"/>
          <w:szCs w:val="23"/>
        </w:rPr>
        <w:t>Th</w:t>
      </w:r>
      <w:r w:rsidR="00180832">
        <w:rPr>
          <w:rFonts w:ascii="Arial" w:hAnsi="Arial" w:cs="Arial"/>
          <w:sz w:val="23"/>
          <w:szCs w:val="23"/>
        </w:rPr>
        <w:t xml:space="preserve">ese guidelines </w:t>
      </w:r>
      <w:r w:rsidRPr="00E1419D">
        <w:rPr>
          <w:rFonts w:ascii="Arial" w:hAnsi="Arial" w:cs="Arial"/>
          <w:sz w:val="23"/>
          <w:szCs w:val="23"/>
        </w:rPr>
        <w:t xml:space="preserve">sets out what Gloucestershire County Council expect you to do in the event of a medication error.  </w:t>
      </w:r>
      <w:r w:rsidR="00180832">
        <w:rPr>
          <w:rFonts w:ascii="Arial" w:hAnsi="Arial" w:cs="Arial"/>
          <w:sz w:val="23"/>
          <w:szCs w:val="23"/>
        </w:rPr>
        <w:t>The guidelines bring together existing polices and documents on this issue into one synthesised format.</w:t>
      </w:r>
    </w:p>
    <w:p w:rsidR="007741B5" w:rsidRPr="00E1419D" w:rsidRDefault="007741B5" w:rsidP="007741B5">
      <w:pPr>
        <w:rPr>
          <w:rFonts w:ascii="Arial" w:hAnsi="Arial" w:cs="Arial"/>
          <w:sz w:val="23"/>
          <w:szCs w:val="23"/>
        </w:rPr>
      </w:pPr>
      <w:r w:rsidRPr="00E1419D">
        <w:rPr>
          <w:rFonts w:ascii="Arial" w:hAnsi="Arial" w:cs="Arial"/>
          <w:sz w:val="23"/>
          <w:szCs w:val="23"/>
        </w:rPr>
        <w:t>Th</w:t>
      </w:r>
      <w:r w:rsidR="00180832">
        <w:rPr>
          <w:rFonts w:ascii="Arial" w:hAnsi="Arial" w:cs="Arial"/>
          <w:sz w:val="23"/>
          <w:szCs w:val="23"/>
        </w:rPr>
        <w:t xml:space="preserve">e guideline </w:t>
      </w:r>
      <w:r w:rsidRPr="00E1419D">
        <w:rPr>
          <w:rFonts w:ascii="Arial" w:hAnsi="Arial" w:cs="Arial"/>
          <w:sz w:val="23"/>
          <w:szCs w:val="23"/>
        </w:rPr>
        <w:t xml:space="preserve">should be read alongside the Gloucestershire multi-agency safeguarding policy which can be found here: </w:t>
      </w:r>
    </w:p>
    <w:p w:rsidR="007741B5" w:rsidRPr="00E1419D" w:rsidRDefault="00771490" w:rsidP="007741B5">
      <w:pPr>
        <w:rPr>
          <w:rFonts w:ascii="Arial" w:hAnsi="Arial" w:cs="Arial"/>
          <w:sz w:val="23"/>
          <w:szCs w:val="23"/>
        </w:rPr>
      </w:pPr>
      <w:hyperlink r:id="rId8" w:history="1">
        <w:r w:rsidR="007741B5" w:rsidRPr="00E1419D">
          <w:rPr>
            <w:rStyle w:val="Hyperlink"/>
            <w:rFonts w:ascii="Arial" w:hAnsi="Arial" w:cs="Arial"/>
            <w:sz w:val="23"/>
            <w:szCs w:val="23"/>
          </w:rPr>
          <w:t>http://www.gloucestershire.gov.uk/gsab/article/110171/Multi-Agency-Safeguarding-Policy-and-Procedures--supporting-guidance</w:t>
        </w:r>
      </w:hyperlink>
    </w:p>
    <w:p w:rsidR="007741B5" w:rsidRDefault="007741B5">
      <w:pPr>
        <w:rPr>
          <w:rFonts w:ascii="Arial" w:hAnsi="Arial" w:cs="Arial"/>
          <w:b/>
          <w:color w:val="000000"/>
          <w:sz w:val="23"/>
          <w:szCs w:val="23"/>
          <w:u w:val="single"/>
        </w:rPr>
      </w:pPr>
    </w:p>
    <w:p w:rsidR="004428EE" w:rsidRPr="004428EE" w:rsidRDefault="004428EE">
      <w:pPr>
        <w:rPr>
          <w:rFonts w:ascii="Arial" w:hAnsi="Arial" w:cs="Arial"/>
          <w:b/>
          <w:color w:val="000000"/>
          <w:sz w:val="23"/>
          <w:szCs w:val="23"/>
          <w:u w:val="single"/>
        </w:rPr>
      </w:pPr>
      <w:r w:rsidRPr="004428EE">
        <w:rPr>
          <w:rFonts w:ascii="Arial" w:hAnsi="Arial" w:cs="Arial"/>
          <w:b/>
          <w:color w:val="000000"/>
          <w:sz w:val="23"/>
          <w:szCs w:val="23"/>
          <w:u w:val="single"/>
        </w:rPr>
        <w:t>What is a medication error?</w:t>
      </w:r>
    </w:p>
    <w:p w:rsidR="00731DF3" w:rsidRPr="00731DF3" w:rsidRDefault="00731DF3">
      <w:pPr>
        <w:rPr>
          <w:rFonts w:ascii="Arial" w:hAnsi="Arial" w:cs="Arial"/>
          <w:color w:val="000000"/>
          <w:sz w:val="23"/>
          <w:szCs w:val="23"/>
        </w:rPr>
      </w:pPr>
      <w:r w:rsidRPr="00731DF3">
        <w:rPr>
          <w:rFonts w:ascii="Arial" w:hAnsi="Arial" w:cs="Arial"/>
          <w:color w:val="000000"/>
          <w:sz w:val="23"/>
          <w:szCs w:val="23"/>
        </w:rPr>
        <w:t>The National Patient Safety Agency defines a medication error as an error in the process of prescribing, dispensing, preparing, administering, monitoring or providing medicine advice, regardless of whether any harm occurred.</w:t>
      </w:r>
    </w:p>
    <w:p w:rsidR="00731DF3" w:rsidRPr="00731DF3" w:rsidRDefault="00731DF3">
      <w:pPr>
        <w:rPr>
          <w:rFonts w:ascii="Arial" w:hAnsi="Arial" w:cs="Arial"/>
          <w:color w:val="000000"/>
          <w:sz w:val="23"/>
          <w:szCs w:val="23"/>
        </w:rPr>
      </w:pPr>
      <w:r w:rsidRPr="00731DF3">
        <w:rPr>
          <w:rFonts w:ascii="Arial" w:hAnsi="Arial" w:cs="Arial"/>
          <w:color w:val="000000"/>
          <w:sz w:val="23"/>
          <w:szCs w:val="23"/>
        </w:rPr>
        <w:t>Errors may result in an incident or an adverse event or where averted they can be classified as a 'near miss'.</w:t>
      </w:r>
      <w:r w:rsidRPr="00731DF3">
        <w:rPr>
          <w:rFonts w:ascii="Arial" w:hAnsi="Arial" w:cs="Arial"/>
          <w:color w:val="000000"/>
          <w:sz w:val="23"/>
          <w:szCs w:val="23"/>
        </w:rPr>
        <w:br/>
      </w:r>
      <w:r w:rsidRPr="00731DF3">
        <w:rPr>
          <w:rFonts w:ascii="Arial" w:hAnsi="Arial" w:cs="Arial"/>
          <w:color w:val="000000"/>
          <w:sz w:val="23"/>
          <w:szCs w:val="23"/>
        </w:rPr>
        <w:br/>
        <w:t>Examples of administration errors can include the following:</w:t>
      </w:r>
    </w:p>
    <w:p w:rsidR="00731DF3" w:rsidRPr="00731DF3" w:rsidRDefault="00731DF3">
      <w:pPr>
        <w:rPr>
          <w:rFonts w:ascii="Arial" w:hAnsi="Arial" w:cs="Arial"/>
          <w:sz w:val="23"/>
          <w:szCs w:val="23"/>
        </w:rPr>
      </w:pPr>
      <w:r w:rsidRPr="00731DF3">
        <w:rPr>
          <w:rFonts w:ascii="Arial" w:hAnsi="Arial" w:cs="Arial"/>
          <w:color w:val="000000"/>
          <w:sz w:val="23"/>
          <w:szCs w:val="23"/>
        </w:rPr>
        <w:t>1. Omissions – any prescribed dose not given</w:t>
      </w:r>
      <w:r w:rsidRPr="00731DF3">
        <w:rPr>
          <w:rFonts w:ascii="Arial" w:hAnsi="Arial" w:cs="Arial"/>
          <w:color w:val="000000"/>
          <w:sz w:val="23"/>
          <w:szCs w:val="23"/>
        </w:rPr>
        <w:br/>
        <w:t xml:space="preserve">2. Wrong dose </w:t>
      </w:r>
      <w:proofErr w:type="gramStart"/>
      <w:r w:rsidRPr="00731DF3">
        <w:rPr>
          <w:rFonts w:ascii="Arial" w:hAnsi="Arial" w:cs="Arial"/>
          <w:color w:val="000000"/>
          <w:sz w:val="23"/>
          <w:szCs w:val="23"/>
        </w:rPr>
        <w:t>administered, too much or too little</w:t>
      </w:r>
      <w:r w:rsidRPr="00731DF3">
        <w:rPr>
          <w:rFonts w:ascii="Arial" w:hAnsi="Arial" w:cs="Arial"/>
          <w:color w:val="000000"/>
          <w:sz w:val="23"/>
          <w:szCs w:val="23"/>
        </w:rPr>
        <w:br/>
        <w:t>3</w:t>
      </w:r>
      <w:proofErr w:type="gramEnd"/>
      <w:r w:rsidRPr="00731DF3"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gramStart"/>
      <w:r w:rsidRPr="00731DF3">
        <w:rPr>
          <w:rFonts w:ascii="Arial" w:hAnsi="Arial" w:cs="Arial"/>
          <w:color w:val="000000"/>
          <w:sz w:val="23"/>
          <w:szCs w:val="23"/>
        </w:rPr>
        <w:t>Extra dose given</w:t>
      </w:r>
      <w:r w:rsidRPr="00731DF3">
        <w:rPr>
          <w:rFonts w:ascii="Arial" w:hAnsi="Arial" w:cs="Arial"/>
          <w:color w:val="000000"/>
          <w:sz w:val="23"/>
          <w:szCs w:val="23"/>
        </w:rPr>
        <w:br/>
        <w:t>4.</w:t>
      </w:r>
      <w:proofErr w:type="gramEnd"/>
      <w:r w:rsidRPr="00731DF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731DF3">
        <w:rPr>
          <w:rFonts w:ascii="Arial" w:hAnsi="Arial" w:cs="Arial"/>
          <w:color w:val="000000"/>
          <w:sz w:val="23"/>
          <w:szCs w:val="23"/>
        </w:rPr>
        <w:t>Unprescribed</w:t>
      </w:r>
      <w:proofErr w:type="spellEnd"/>
      <w:r w:rsidRPr="00731DF3">
        <w:rPr>
          <w:rFonts w:ascii="Arial" w:hAnsi="Arial" w:cs="Arial"/>
          <w:color w:val="000000"/>
          <w:sz w:val="23"/>
          <w:szCs w:val="23"/>
        </w:rPr>
        <w:t xml:space="preserve"> medicine – the administration to a resident of any medicine not authorised for them</w:t>
      </w:r>
      <w:r w:rsidRPr="00731DF3">
        <w:rPr>
          <w:rFonts w:ascii="Arial" w:hAnsi="Arial" w:cs="Arial"/>
          <w:color w:val="000000"/>
          <w:sz w:val="23"/>
          <w:szCs w:val="23"/>
        </w:rPr>
        <w:br/>
        <w:t xml:space="preserve">5. </w:t>
      </w:r>
      <w:proofErr w:type="gramStart"/>
      <w:r w:rsidRPr="00731DF3">
        <w:rPr>
          <w:rFonts w:ascii="Arial" w:hAnsi="Arial" w:cs="Arial"/>
          <w:color w:val="000000"/>
          <w:sz w:val="23"/>
          <w:szCs w:val="23"/>
        </w:rPr>
        <w:t>Wrong dose interval</w:t>
      </w:r>
      <w:r w:rsidRPr="00731DF3">
        <w:rPr>
          <w:rFonts w:ascii="Arial" w:hAnsi="Arial" w:cs="Arial"/>
          <w:color w:val="000000"/>
          <w:sz w:val="23"/>
          <w:szCs w:val="23"/>
        </w:rPr>
        <w:br/>
        <w:t>6.</w:t>
      </w:r>
      <w:proofErr w:type="gramEnd"/>
      <w:r w:rsidRPr="00731DF3">
        <w:rPr>
          <w:rFonts w:ascii="Arial" w:hAnsi="Arial" w:cs="Arial"/>
          <w:color w:val="000000"/>
          <w:sz w:val="23"/>
          <w:szCs w:val="23"/>
        </w:rPr>
        <w:t xml:space="preserve"> Wrong administration route – administration of a medicine by a different route or in a different form from that prescribed</w:t>
      </w:r>
      <w:r w:rsidRPr="00731DF3">
        <w:rPr>
          <w:rFonts w:ascii="Arial" w:hAnsi="Arial" w:cs="Arial"/>
          <w:color w:val="000000"/>
          <w:sz w:val="23"/>
          <w:szCs w:val="23"/>
        </w:rPr>
        <w:br/>
        <w:t xml:space="preserve">7. </w:t>
      </w:r>
      <w:proofErr w:type="gramStart"/>
      <w:r w:rsidRPr="00731DF3">
        <w:rPr>
          <w:rFonts w:ascii="Arial" w:hAnsi="Arial" w:cs="Arial"/>
          <w:color w:val="000000"/>
          <w:sz w:val="23"/>
          <w:szCs w:val="23"/>
        </w:rPr>
        <w:t>Administration of a drug to which the resident has a known allergy</w:t>
      </w:r>
      <w:r w:rsidRPr="00731DF3">
        <w:rPr>
          <w:rFonts w:ascii="Arial" w:hAnsi="Arial" w:cs="Arial"/>
          <w:color w:val="000000"/>
          <w:sz w:val="23"/>
          <w:szCs w:val="23"/>
        </w:rPr>
        <w:br/>
        <w:t>8.</w:t>
      </w:r>
      <w:proofErr w:type="gramEnd"/>
      <w:r w:rsidRPr="00731DF3">
        <w:rPr>
          <w:rFonts w:ascii="Arial" w:hAnsi="Arial" w:cs="Arial"/>
          <w:color w:val="000000"/>
          <w:sz w:val="23"/>
          <w:szCs w:val="23"/>
        </w:rPr>
        <w:t xml:space="preserve"> Administration of a drug past </w:t>
      </w:r>
      <w:proofErr w:type="gramStart"/>
      <w:r w:rsidRPr="00731DF3">
        <w:rPr>
          <w:rFonts w:ascii="Arial" w:hAnsi="Arial" w:cs="Arial"/>
          <w:color w:val="000000"/>
          <w:sz w:val="23"/>
          <w:szCs w:val="23"/>
        </w:rPr>
        <w:t>it's</w:t>
      </w:r>
      <w:proofErr w:type="gramEnd"/>
      <w:r w:rsidRPr="00731DF3">
        <w:rPr>
          <w:rFonts w:ascii="Arial" w:hAnsi="Arial" w:cs="Arial"/>
          <w:color w:val="000000"/>
          <w:sz w:val="23"/>
          <w:szCs w:val="23"/>
        </w:rPr>
        <w:t xml:space="preserve"> expiry date</w:t>
      </w:r>
    </w:p>
    <w:p w:rsidR="00F00D95" w:rsidRPr="00E1419D" w:rsidRDefault="00F00D95">
      <w:pPr>
        <w:rPr>
          <w:rFonts w:ascii="Arial" w:hAnsi="Arial" w:cs="Arial"/>
          <w:sz w:val="23"/>
          <w:szCs w:val="23"/>
        </w:rPr>
      </w:pPr>
      <w:r w:rsidRPr="00E1419D">
        <w:rPr>
          <w:rFonts w:ascii="Arial" w:hAnsi="Arial" w:cs="Arial"/>
          <w:sz w:val="23"/>
          <w:szCs w:val="23"/>
        </w:rPr>
        <w:t>Most medication errors do not harm the individual although som</w:t>
      </w:r>
      <w:r w:rsidR="00E1419D" w:rsidRPr="00E1419D">
        <w:rPr>
          <w:rFonts w:ascii="Arial" w:hAnsi="Arial" w:cs="Arial"/>
          <w:sz w:val="23"/>
          <w:szCs w:val="23"/>
        </w:rPr>
        <w:t>e can have serious consequences which amount to abuse.</w:t>
      </w:r>
    </w:p>
    <w:p w:rsidR="004428EE" w:rsidRDefault="004428EE">
      <w:pPr>
        <w:rPr>
          <w:rFonts w:ascii="Arial" w:hAnsi="Arial" w:cs="Arial"/>
          <w:b/>
          <w:sz w:val="23"/>
          <w:szCs w:val="23"/>
          <w:u w:val="single"/>
        </w:rPr>
      </w:pPr>
    </w:p>
    <w:p w:rsidR="00E1419D" w:rsidRDefault="00E1419D">
      <w:pPr>
        <w:rPr>
          <w:rFonts w:ascii="Arial" w:hAnsi="Arial" w:cs="Arial"/>
          <w:color w:val="000000" w:themeColor="text1"/>
        </w:rPr>
      </w:pPr>
    </w:p>
    <w:p w:rsidR="007741B5" w:rsidRDefault="007741B5">
      <w:pPr>
        <w:rPr>
          <w:rFonts w:ascii="Arial" w:hAnsi="Arial" w:cs="Arial"/>
          <w:color w:val="000000" w:themeColor="text1"/>
        </w:rPr>
      </w:pPr>
    </w:p>
    <w:p w:rsidR="00BF2862" w:rsidRPr="007741B5" w:rsidRDefault="00F00D95">
      <w:pPr>
        <w:rPr>
          <w:rFonts w:ascii="Arial" w:hAnsi="Arial" w:cs="Arial"/>
          <w:b/>
          <w:color w:val="000000" w:themeColor="text1"/>
          <w:sz w:val="23"/>
          <w:szCs w:val="23"/>
          <w:u w:val="single"/>
        </w:rPr>
      </w:pPr>
      <w:r w:rsidRPr="007741B5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lastRenderedPageBreak/>
        <w:t>Your contractual obligations with the county council</w:t>
      </w:r>
    </w:p>
    <w:p w:rsidR="00F00D95" w:rsidRPr="007741B5" w:rsidRDefault="00FB4440">
      <w:pPr>
        <w:rPr>
          <w:rFonts w:ascii="Arial" w:hAnsi="Arial" w:cs="Arial"/>
          <w:color w:val="000000" w:themeColor="text1"/>
          <w:sz w:val="23"/>
          <w:szCs w:val="23"/>
        </w:rPr>
      </w:pPr>
      <w:r w:rsidRPr="007741B5">
        <w:rPr>
          <w:rFonts w:ascii="Arial" w:hAnsi="Arial" w:cs="Arial"/>
          <w:color w:val="000000" w:themeColor="text1"/>
          <w:sz w:val="23"/>
          <w:szCs w:val="23"/>
        </w:rPr>
        <w:t>Your contract with the council states the following:</w:t>
      </w:r>
    </w:p>
    <w:p w:rsidR="00FB4440" w:rsidRPr="007741B5" w:rsidRDefault="00FB4440" w:rsidP="00731DF3">
      <w:pPr>
        <w:pStyle w:val="ListParagraph"/>
        <w:numPr>
          <w:ilvl w:val="0"/>
          <w:numId w:val="4"/>
        </w:numPr>
        <w:spacing w:after="240" w:line="360" w:lineRule="atLeast"/>
        <w:rPr>
          <w:rFonts w:ascii="Arial" w:hAnsi="Arial" w:cs="Arial"/>
          <w:i/>
          <w:sz w:val="23"/>
          <w:szCs w:val="23"/>
        </w:rPr>
      </w:pPr>
      <w:r w:rsidRPr="007741B5">
        <w:rPr>
          <w:rFonts w:ascii="Arial" w:hAnsi="Arial" w:cs="Arial"/>
          <w:i/>
          <w:sz w:val="23"/>
          <w:szCs w:val="23"/>
        </w:rPr>
        <w:t>The Provider will be able to demonstrate appropriate medication policies, procedures and processes for the ordering, storage, administration and disposal of medication in line with national guidance and legislation.</w:t>
      </w:r>
    </w:p>
    <w:p w:rsidR="00FB4440" w:rsidRPr="007741B5" w:rsidRDefault="00FB4440" w:rsidP="00731DF3">
      <w:pPr>
        <w:pStyle w:val="ListParagraph"/>
        <w:numPr>
          <w:ilvl w:val="0"/>
          <w:numId w:val="4"/>
        </w:numPr>
        <w:spacing w:after="240" w:line="360" w:lineRule="atLeast"/>
        <w:rPr>
          <w:rFonts w:ascii="Arial" w:hAnsi="Arial" w:cs="Arial"/>
          <w:i/>
          <w:sz w:val="23"/>
          <w:szCs w:val="23"/>
        </w:rPr>
      </w:pPr>
      <w:r w:rsidRPr="007741B5">
        <w:rPr>
          <w:rFonts w:ascii="Arial" w:hAnsi="Arial" w:cs="Arial"/>
          <w:i/>
          <w:sz w:val="23"/>
          <w:szCs w:val="23"/>
        </w:rPr>
        <w:t xml:space="preserve">The Provider will ensure that adequately trained Staff </w:t>
      </w:r>
      <w:proofErr w:type="gramStart"/>
      <w:r w:rsidRPr="007741B5">
        <w:rPr>
          <w:rFonts w:ascii="Arial" w:hAnsi="Arial" w:cs="Arial"/>
          <w:i/>
          <w:sz w:val="23"/>
          <w:szCs w:val="23"/>
        </w:rPr>
        <w:t>are</w:t>
      </w:r>
      <w:proofErr w:type="gramEnd"/>
      <w:r w:rsidRPr="007741B5">
        <w:rPr>
          <w:rFonts w:ascii="Arial" w:hAnsi="Arial" w:cs="Arial"/>
          <w:i/>
          <w:sz w:val="23"/>
          <w:szCs w:val="23"/>
        </w:rPr>
        <w:t xml:space="preserve"> responsible for the ordering, storage, administration and disposal of medication and which will include regular competency assessments.</w:t>
      </w:r>
    </w:p>
    <w:p w:rsidR="00FB4440" w:rsidRPr="007741B5" w:rsidRDefault="00FB4440" w:rsidP="00731DF3">
      <w:pPr>
        <w:pStyle w:val="ListParagraph"/>
        <w:numPr>
          <w:ilvl w:val="0"/>
          <w:numId w:val="4"/>
        </w:numPr>
        <w:spacing w:after="240" w:line="360" w:lineRule="atLeast"/>
        <w:rPr>
          <w:rFonts w:ascii="Arial" w:hAnsi="Arial" w:cs="Arial"/>
          <w:i/>
          <w:sz w:val="23"/>
          <w:szCs w:val="23"/>
        </w:rPr>
      </w:pPr>
      <w:r w:rsidRPr="007741B5">
        <w:rPr>
          <w:rFonts w:ascii="Arial" w:hAnsi="Arial" w:cs="Arial"/>
          <w:i/>
          <w:sz w:val="23"/>
          <w:szCs w:val="23"/>
        </w:rPr>
        <w:t>The Provider will evidence that individualised and person-centred procedures and processes for the ordering, storage, administration and disposal of medication are in place.</w:t>
      </w:r>
    </w:p>
    <w:p w:rsidR="00FB4440" w:rsidRPr="007741B5" w:rsidRDefault="00FB4440" w:rsidP="00731DF3">
      <w:pPr>
        <w:pStyle w:val="ListParagraph"/>
        <w:numPr>
          <w:ilvl w:val="0"/>
          <w:numId w:val="4"/>
        </w:numPr>
        <w:spacing w:after="240" w:line="360" w:lineRule="atLeast"/>
        <w:rPr>
          <w:rFonts w:ascii="Arial" w:hAnsi="Arial" w:cs="Arial"/>
          <w:i/>
          <w:sz w:val="23"/>
          <w:szCs w:val="23"/>
        </w:rPr>
      </w:pPr>
      <w:r w:rsidRPr="007741B5">
        <w:rPr>
          <w:rFonts w:ascii="Arial" w:hAnsi="Arial" w:cs="Arial"/>
          <w:i/>
          <w:sz w:val="23"/>
          <w:szCs w:val="23"/>
        </w:rPr>
        <w:t>The Provider will evidence that all prescribed medication in use, referenced to the Service User’s PRN, has been authorised by medically trained staff.</w:t>
      </w:r>
    </w:p>
    <w:p w:rsidR="00FB4440" w:rsidRPr="007741B5" w:rsidRDefault="00FB4440" w:rsidP="00731DF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000000" w:themeColor="text1"/>
          <w:sz w:val="23"/>
          <w:szCs w:val="23"/>
        </w:rPr>
      </w:pPr>
      <w:r w:rsidRPr="007741B5">
        <w:rPr>
          <w:rFonts w:ascii="Arial" w:hAnsi="Arial" w:cs="Arial"/>
          <w:i/>
          <w:sz w:val="23"/>
          <w:szCs w:val="23"/>
        </w:rPr>
        <w:t xml:space="preserve">The Provider will work within the NICE guidelines ‘Challenging behaviour and learning disabilities: prevention and interventions for people with learning disabilities whose behaviour </w:t>
      </w:r>
      <w:proofErr w:type="gramStart"/>
      <w:r w:rsidRPr="007741B5">
        <w:rPr>
          <w:rFonts w:ascii="Arial" w:hAnsi="Arial" w:cs="Arial"/>
          <w:i/>
          <w:sz w:val="23"/>
          <w:szCs w:val="23"/>
        </w:rPr>
        <w:t>challenges’(</w:t>
      </w:r>
      <w:proofErr w:type="gramEnd"/>
      <w:r w:rsidRPr="007741B5">
        <w:rPr>
          <w:rFonts w:ascii="Arial" w:hAnsi="Arial" w:cs="Arial"/>
          <w:i/>
          <w:sz w:val="23"/>
          <w:szCs w:val="23"/>
        </w:rPr>
        <w:t>NG11).</w:t>
      </w:r>
    </w:p>
    <w:p w:rsidR="007741B5" w:rsidRPr="007741B5" w:rsidRDefault="007741B5" w:rsidP="007741B5">
      <w:pPr>
        <w:pStyle w:val="ListParagraph"/>
        <w:rPr>
          <w:rFonts w:ascii="Arial" w:hAnsi="Arial" w:cs="Arial"/>
          <w:i/>
          <w:color w:val="000000" w:themeColor="text1"/>
          <w:sz w:val="23"/>
          <w:szCs w:val="23"/>
        </w:rPr>
      </w:pPr>
    </w:p>
    <w:p w:rsidR="00FB4440" w:rsidRPr="007741B5" w:rsidRDefault="00FB4440">
      <w:pPr>
        <w:rPr>
          <w:rFonts w:ascii="Arial" w:hAnsi="Arial" w:cs="Arial"/>
          <w:color w:val="000000" w:themeColor="text1"/>
          <w:sz w:val="23"/>
          <w:szCs w:val="23"/>
        </w:rPr>
      </w:pPr>
      <w:r w:rsidRPr="007741B5">
        <w:rPr>
          <w:rFonts w:ascii="Arial" w:hAnsi="Arial" w:cs="Arial"/>
          <w:color w:val="000000" w:themeColor="text1"/>
          <w:sz w:val="23"/>
          <w:szCs w:val="23"/>
        </w:rPr>
        <w:t>(Providers of residential care services do not currently include this statement in their contracts.  The residential care contract is currently under review and this policy reflects</w:t>
      </w:r>
      <w:r w:rsidR="007741B5">
        <w:rPr>
          <w:rFonts w:ascii="Arial" w:hAnsi="Arial" w:cs="Arial"/>
          <w:color w:val="000000" w:themeColor="text1"/>
          <w:sz w:val="23"/>
          <w:szCs w:val="23"/>
        </w:rPr>
        <w:t xml:space="preserve"> the minimum requirements it will contain).</w:t>
      </w:r>
    </w:p>
    <w:p w:rsidR="00FB4440" w:rsidRDefault="00FB4440">
      <w:pPr>
        <w:rPr>
          <w:rFonts w:ascii="Arial" w:hAnsi="Arial" w:cs="Arial"/>
          <w:color w:val="000000" w:themeColor="text1"/>
        </w:rPr>
      </w:pPr>
    </w:p>
    <w:p w:rsidR="00F00D95" w:rsidRPr="00731DF3" w:rsidRDefault="00F00D95">
      <w:pPr>
        <w:rPr>
          <w:rFonts w:ascii="Arial" w:hAnsi="Arial" w:cs="Arial"/>
          <w:b/>
          <w:color w:val="000000" w:themeColor="text1"/>
          <w:u w:val="single"/>
        </w:rPr>
      </w:pPr>
      <w:r w:rsidRPr="00731DF3">
        <w:rPr>
          <w:rFonts w:ascii="Arial" w:hAnsi="Arial" w:cs="Arial"/>
          <w:b/>
          <w:color w:val="000000" w:themeColor="text1"/>
          <w:u w:val="single"/>
        </w:rPr>
        <w:t>What you need to report to the Care Quality Commission</w:t>
      </w:r>
    </w:p>
    <w:p w:rsidR="004428EE" w:rsidRDefault="004428EE" w:rsidP="004428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CQC statutory notification guidance states as follows:</w:t>
      </w:r>
    </w:p>
    <w:p w:rsidR="004428EE" w:rsidRDefault="004428EE" w:rsidP="004428EE">
      <w:pPr>
        <w:pStyle w:val="Default"/>
        <w:rPr>
          <w:sz w:val="23"/>
          <w:szCs w:val="23"/>
        </w:rPr>
      </w:pPr>
    </w:p>
    <w:p w:rsidR="004428EE" w:rsidRPr="004428EE" w:rsidRDefault="004428EE" w:rsidP="004428EE">
      <w:pPr>
        <w:pStyle w:val="Default"/>
        <w:rPr>
          <w:sz w:val="23"/>
          <w:szCs w:val="23"/>
        </w:rPr>
      </w:pPr>
      <w:r w:rsidRPr="004428EE">
        <w:rPr>
          <w:sz w:val="23"/>
          <w:szCs w:val="23"/>
        </w:rPr>
        <w:t xml:space="preserve">There is no requirement to notify CQC about medicines errors, but a notification would be required if the cause or effect of a medicine error met the criteria to notify one of the following: </w:t>
      </w:r>
    </w:p>
    <w:p w:rsidR="004428EE" w:rsidRPr="004428EE" w:rsidRDefault="004428EE" w:rsidP="004428EE">
      <w:pPr>
        <w:pStyle w:val="Default"/>
        <w:rPr>
          <w:sz w:val="23"/>
          <w:szCs w:val="23"/>
        </w:rPr>
      </w:pPr>
    </w:p>
    <w:p w:rsidR="004428EE" w:rsidRPr="004428EE" w:rsidRDefault="004428EE" w:rsidP="004428EE">
      <w:pPr>
        <w:pStyle w:val="Default"/>
        <w:rPr>
          <w:sz w:val="23"/>
          <w:szCs w:val="23"/>
        </w:rPr>
      </w:pPr>
      <w:r w:rsidRPr="004428EE">
        <w:rPr>
          <w:sz w:val="23"/>
          <w:szCs w:val="23"/>
        </w:rPr>
        <w:t xml:space="preserve"> </w:t>
      </w:r>
      <w:proofErr w:type="gramStart"/>
      <w:r w:rsidRPr="004428EE">
        <w:rPr>
          <w:sz w:val="23"/>
          <w:szCs w:val="23"/>
        </w:rPr>
        <w:t>A</w:t>
      </w:r>
      <w:proofErr w:type="gramEnd"/>
      <w:r w:rsidRPr="004428EE">
        <w:rPr>
          <w:sz w:val="23"/>
          <w:szCs w:val="23"/>
        </w:rPr>
        <w:t xml:space="preserve"> death </w:t>
      </w:r>
    </w:p>
    <w:p w:rsidR="004428EE" w:rsidRPr="004428EE" w:rsidRDefault="004428EE" w:rsidP="004428EE">
      <w:pPr>
        <w:pStyle w:val="Default"/>
        <w:rPr>
          <w:sz w:val="23"/>
          <w:szCs w:val="23"/>
        </w:rPr>
      </w:pPr>
      <w:r w:rsidRPr="004428EE">
        <w:rPr>
          <w:sz w:val="23"/>
          <w:szCs w:val="23"/>
        </w:rPr>
        <w:t xml:space="preserve"> </w:t>
      </w:r>
      <w:proofErr w:type="gramStart"/>
      <w:r w:rsidRPr="004428EE">
        <w:rPr>
          <w:sz w:val="23"/>
          <w:szCs w:val="23"/>
        </w:rPr>
        <w:t>An</w:t>
      </w:r>
      <w:proofErr w:type="gramEnd"/>
      <w:r w:rsidRPr="004428EE">
        <w:rPr>
          <w:sz w:val="23"/>
          <w:szCs w:val="23"/>
        </w:rPr>
        <w:t xml:space="preserve"> injury </w:t>
      </w:r>
    </w:p>
    <w:p w:rsidR="004428EE" w:rsidRPr="004428EE" w:rsidRDefault="004428EE" w:rsidP="004428EE">
      <w:pPr>
        <w:pStyle w:val="Default"/>
        <w:rPr>
          <w:sz w:val="23"/>
          <w:szCs w:val="23"/>
        </w:rPr>
      </w:pPr>
      <w:r w:rsidRPr="004428EE">
        <w:rPr>
          <w:sz w:val="23"/>
          <w:szCs w:val="23"/>
        </w:rPr>
        <w:t xml:space="preserve"> </w:t>
      </w:r>
      <w:proofErr w:type="gramStart"/>
      <w:r w:rsidRPr="004428EE">
        <w:rPr>
          <w:sz w:val="23"/>
          <w:szCs w:val="23"/>
        </w:rPr>
        <w:t>Abuse,</w:t>
      </w:r>
      <w:proofErr w:type="gramEnd"/>
      <w:r w:rsidRPr="004428EE">
        <w:rPr>
          <w:sz w:val="23"/>
          <w:szCs w:val="23"/>
        </w:rPr>
        <w:t xml:space="preserve"> or an allegation of abuse </w:t>
      </w:r>
    </w:p>
    <w:p w:rsidR="004428EE" w:rsidRPr="004428EE" w:rsidRDefault="004428EE" w:rsidP="004428EE">
      <w:pPr>
        <w:pStyle w:val="Default"/>
        <w:rPr>
          <w:sz w:val="23"/>
          <w:szCs w:val="23"/>
        </w:rPr>
      </w:pPr>
      <w:r w:rsidRPr="004428EE">
        <w:rPr>
          <w:sz w:val="23"/>
          <w:szCs w:val="23"/>
        </w:rPr>
        <w:t xml:space="preserve"> </w:t>
      </w:r>
      <w:proofErr w:type="gramStart"/>
      <w:r w:rsidRPr="004428EE">
        <w:rPr>
          <w:sz w:val="23"/>
          <w:szCs w:val="23"/>
        </w:rPr>
        <w:t>An</w:t>
      </w:r>
      <w:proofErr w:type="gramEnd"/>
      <w:r w:rsidRPr="004428EE">
        <w:rPr>
          <w:sz w:val="23"/>
          <w:szCs w:val="23"/>
        </w:rPr>
        <w:t xml:space="preserve"> incident reported to or investigated by the police </w:t>
      </w:r>
    </w:p>
    <w:p w:rsidR="004428EE" w:rsidRPr="004428EE" w:rsidRDefault="004428EE" w:rsidP="004428EE">
      <w:pPr>
        <w:pStyle w:val="Default"/>
        <w:rPr>
          <w:sz w:val="23"/>
          <w:szCs w:val="23"/>
        </w:rPr>
      </w:pPr>
    </w:p>
    <w:p w:rsidR="004428EE" w:rsidRPr="004428EE" w:rsidRDefault="004428EE" w:rsidP="004428EE">
      <w:pPr>
        <w:rPr>
          <w:rFonts w:ascii="Arial" w:hAnsi="Arial" w:cs="Arial"/>
          <w:color w:val="000000" w:themeColor="text1"/>
        </w:rPr>
      </w:pPr>
      <w:r w:rsidRPr="004428EE">
        <w:rPr>
          <w:rFonts w:ascii="Arial" w:hAnsi="Arial" w:cs="Arial"/>
          <w:sz w:val="23"/>
          <w:szCs w:val="23"/>
        </w:rPr>
        <w:t xml:space="preserve">Where relevant, you should make it clear that a medicine error was a known or possible cause or effect of these incidents or events being notified. </w:t>
      </w:r>
    </w:p>
    <w:p w:rsidR="00731DF3" w:rsidRDefault="00771490">
      <w:pPr>
        <w:rPr>
          <w:rFonts w:ascii="Arial" w:hAnsi="Arial" w:cs="Arial"/>
          <w:color w:val="000000" w:themeColor="text1"/>
        </w:rPr>
      </w:pPr>
      <w:hyperlink r:id="rId9" w:anchor="guidance" w:history="1">
        <w:r w:rsidR="00731DF3" w:rsidRPr="00D41BCC">
          <w:rPr>
            <w:rStyle w:val="Hyperlink"/>
            <w:rFonts w:ascii="Arial" w:hAnsi="Arial" w:cs="Arial"/>
          </w:rPr>
          <w:t>http://www.cqc.org.uk/content/regulation-12-safe-care-and-treatment#guidance</w:t>
        </w:r>
      </w:hyperlink>
    </w:p>
    <w:p w:rsidR="00731DF3" w:rsidRDefault="00771490">
      <w:pPr>
        <w:rPr>
          <w:rFonts w:ascii="Arial" w:hAnsi="Arial" w:cs="Arial"/>
          <w:color w:val="000000" w:themeColor="text1"/>
        </w:rPr>
      </w:pPr>
      <w:hyperlink r:id="rId10" w:history="1">
        <w:r w:rsidR="004428EE" w:rsidRPr="00D41BCC">
          <w:rPr>
            <w:rStyle w:val="Hyperlink"/>
            <w:rFonts w:ascii="Arial" w:hAnsi="Arial" w:cs="Arial"/>
          </w:rPr>
          <w:t>https://www.cqc.org.uk/sites/default/files/20150331_100501_v6_00_guidance_on_statutory_notifications_ASC_%20IH_PDC_PA_Reg_Persons.pdf</w:t>
        </w:r>
      </w:hyperlink>
    </w:p>
    <w:p w:rsidR="007741B5" w:rsidRPr="007741B5" w:rsidRDefault="00CA28DB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lastRenderedPageBreak/>
        <w:t>R</w:t>
      </w:r>
      <w:r w:rsidR="007741B5">
        <w:rPr>
          <w:rFonts w:ascii="Arial" w:hAnsi="Arial" w:cs="Arial"/>
          <w:b/>
          <w:color w:val="000000" w:themeColor="text1"/>
          <w:u w:val="single"/>
        </w:rPr>
        <w:t>eport</w:t>
      </w:r>
      <w:r>
        <w:rPr>
          <w:rFonts w:ascii="Arial" w:hAnsi="Arial" w:cs="Arial"/>
          <w:b/>
          <w:color w:val="000000" w:themeColor="text1"/>
          <w:u w:val="single"/>
        </w:rPr>
        <w:t>ing medication errors</w:t>
      </w:r>
      <w:r w:rsidR="007741B5">
        <w:rPr>
          <w:rFonts w:ascii="Arial" w:hAnsi="Arial" w:cs="Arial"/>
          <w:b/>
          <w:color w:val="000000" w:themeColor="text1"/>
          <w:u w:val="single"/>
        </w:rPr>
        <w:t xml:space="preserve"> to Gloucestershire County Council</w:t>
      </w:r>
    </w:p>
    <w:p w:rsidR="00731DF3" w:rsidRDefault="00CA28D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Unless you are specifically instructed to do otherwise (for example under the terms of a Performance Improvement Plan), t</w:t>
      </w:r>
      <w:r w:rsidR="007741B5">
        <w:rPr>
          <w:rFonts w:ascii="Arial" w:hAnsi="Arial" w:cs="Arial"/>
          <w:color w:val="000000" w:themeColor="text1"/>
        </w:rPr>
        <w:t xml:space="preserve">he Safeguarding team do not require you to report a medication error </w:t>
      </w:r>
      <w:r w:rsidR="00180832">
        <w:rPr>
          <w:rFonts w:ascii="Arial" w:hAnsi="Arial" w:cs="Arial"/>
          <w:color w:val="000000" w:themeColor="text1"/>
        </w:rPr>
        <w:t xml:space="preserve">as a safeguarding concern </w:t>
      </w:r>
      <w:r w:rsidR="007741B5">
        <w:rPr>
          <w:rFonts w:ascii="Arial" w:hAnsi="Arial" w:cs="Arial"/>
          <w:color w:val="000000" w:themeColor="text1"/>
        </w:rPr>
        <w:t xml:space="preserve">unless </w:t>
      </w:r>
      <w:r w:rsidR="00180832">
        <w:rPr>
          <w:rFonts w:ascii="Arial" w:hAnsi="Arial" w:cs="Arial"/>
          <w:color w:val="000000" w:themeColor="text1"/>
        </w:rPr>
        <w:t>abuse or neglect is suspected</w:t>
      </w:r>
      <w:r>
        <w:rPr>
          <w:rFonts w:ascii="Arial" w:hAnsi="Arial" w:cs="Arial"/>
          <w:color w:val="000000" w:themeColor="text1"/>
        </w:rPr>
        <w:t xml:space="preserve">.  </w:t>
      </w:r>
      <w:r w:rsidRPr="00CA28DB">
        <w:rPr>
          <w:rFonts w:ascii="Arial" w:hAnsi="Arial" w:cs="Arial"/>
          <w:b/>
          <w:color w:val="000000" w:themeColor="text1"/>
        </w:rPr>
        <w:t xml:space="preserve">However, if an injury has been sustained, or serious harm caused, </w:t>
      </w:r>
      <w:r w:rsidR="00180832">
        <w:rPr>
          <w:rFonts w:ascii="Arial" w:hAnsi="Arial" w:cs="Arial"/>
          <w:b/>
          <w:color w:val="000000" w:themeColor="text1"/>
        </w:rPr>
        <w:t>contact the S</w:t>
      </w:r>
      <w:r w:rsidRPr="00CA28DB">
        <w:rPr>
          <w:rFonts w:ascii="Arial" w:hAnsi="Arial" w:cs="Arial"/>
          <w:b/>
          <w:color w:val="000000" w:themeColor="text1"/>
        </w:rPr>
        <w:t xml:space="preserve">afeguarding </w:t>
      </w:r>
      <w:r w:rsidR="00180832">
        <w:rPr>
          <w:rFonts w:ascii="Arial" w:hAnsi="Arial" w:cs="Arial"/>
          <w:b/>
          <w:color w:val="000000" w:themeColor="text1"/>
        </w:rPr>
        <w:t xml:space="preserve">Adults Advice Line on 01452 425109 for advice. </w:t>
      </w:r>
      <w:r w:rsidR="00FE63BC">
        <w:rPr>
          <w:rFonts w:ascii="Arial" w:hAnsi="Arial" w:cs="Arial"/>
          <w:b/>
          <w:color w:val="000000" w:themeColor="text1"/>
        </w:rPr>
        <w:t xml:space="preserve"> If you need to contact us out of hours, please contact the Emergency Duty Team on 01452 614194.  You may also need to consider contacting the Police.</w:t>
      </w:r>
    </w:p>
    <w:p w:rsidR="00CA28DB" w:rsidRDefault="00CA28D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You may report minor medica</w:t>
      </w:r>
      <w:r w:rsidR="005C3946">
        <w:rPr>
          <w:rFonts w:ascii="Arial" w:hAnsi="Arial" w:cs="Arial"/>
          <w:color w:val="000000" w:themeColor="text1"/>
        </w:rPr>
        <w:t>tion</w:t>
      </w:r>
      <w:r>
        <w:rPr>
          <w:rFonts w:ascii="Arial" w:hAnsi="Arial" w:cs="Arial"/>
          <w:color w:val="000000" w:themeColor="text1"/>
        </w:rPr>
        <w:t xml:space="preserve"> </w:t>
      </w:r>
      <w:r w:rsidR="00FE63BC">
        <w:rPr>
          <w:rFonts w:ascii="Arial" w:hAnsi="Arial" w:cs="Arial"/>
          <w:color w:val="000000" w:themeColor="text1"/>
        </w:rPr>
        <w:t xml:space="preserve">errors </w:t>
      </w:r>
      <w:r>
        <w:rPr>
          <w:rFonts w:ascii="Arial" w:hAnsi="Arial" w:cs="Arial"/>
          <w:color w:val="000000" w:themeColor="text1"/>
        </w:rPr>
        <w:t xml:space="preserve">to the Disability Quality Assurance Team </w:t>
      </w:r>
      <w:r w:rsidR="00FE63BC">
        <w:rPr>
          <w:rFonts w:ascii="Arial" w:hAnsi="Arial" w:cs="Arial"/>
          <w:color w:val="000000" w:themeColor="text1"/>
        </w:rPr>
        <w:t>or the Older People</w:t>
      </w:r>
      <w:r w:rsidR="005C3946">
        <w:rPr>
          <w:rFonts w:ascii="Arial" w:hAnsi="Arial" w:cs="Arial"/>
          <w:color w:val="000000" w:themeColor="text1"/>
        </w:rPr>
        <w:t>’</w:t>
      </w:r>
      <w:r w:rsidR="00FE63BC">
        <w:rPr>
          <w:rFonts w:ascii="Arial" w:hAnsi="Arial" w:cs="Arial"/>
          <w:color w:val="000000" w:themeColor="text1"/>
        </w:rPr>
        <w:t>s</w:t>
      </w:r>
      <w:r w:rsidR="005C3946">
        <w:rPr>
          <w:rFonts w:ascii="Arial" w:hAnsi="Arial" w:cs="Arial"/>
          <w:color w:val="000000" w:themeColor="text1"/>
        </w:rPr>
        <w:t xml:space="preserve"> Commissioning Team </w:t>
      </w:r>
      <w:r>
        <w:rPr>
          <w:rFonts w:ascii="Arial" w:hAnsi="Arial" w:cs="Arial"/>
          <w:color w:val="000000" w:themeColor="text1"/>
        </w:rPr>
        <w:t>if you wish to, but there is no requirement on you to do so.</w:t>
      </w:r>
    </w:p>
    <w:p w:rsidR="00CA28DB" w:rsidRDefault="00CA28D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Your medication records are also likely to be audited by practitioners</w:t>
      </w:r>
      <w:r w:rsidR="005C3946">
        <w:rPr>
          <w:rFonts w:ascii="Arial" w:hAnsi="Arial" w:cs="Arial"/>
          <w:color w:val="000000" w:themeColor="text1"/>
        </w:rPr>
        <w:t xml:space="preserve">, commissioners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>and Quality Review Officers and you are required to facilitate this process.</w:t>
      </w:r>
    </w:p>
    <w:p w:rsidR="007F6B1F" w:rsidRDefault="00156D4B" w:rsidP="00BF286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Quality Assessment Framework and associated best practice guidelines can be found here:</w:t>
      </w:r>
    </w:p>
    <w:p w:rsidR="00156D4B" w:rsidRPr="00BF2862" w:rsidRDefault="00771490" w:rsidP="00BF2862">
      <w:pPr>
        <w:rPr>
          <w:rFonts w:ascii="Arial" w:hAnsi="Arial" w:cs="Arial"/>
          <w:color w:val="000000" w:themeColor="text1"/>
        </w:rPr>
      </w:pPr>
      <w:hyperlink r:id="rId11" w:history="1">
        <w:r w:rsidR="00156D4B" w:rsidRPr="00156D4B">
          <w:rPr>
            <w:rStyle w:val="Hyperlink"/>
            <w:rFonts w:ascii="Arial" w:hAnsi="Arial" w:cs="Arial"/>
          </w:rPr>
          <w:t>http://www.gloucestershire.gov.uk/extra/article/118576/Quality-Visits</w:t>
        </w:r>
      </w:hyperlink>
    </w:p>
    <w:sectPr w:rsidR="00156D4B" w:rsidRPr="00BF286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62" w:rsidRDefault="00BF2862" w:rsidP="00BF2862">
      <w:pPr>
        <w:spacing w:after="0" w:line="240" w:lineRule="auto"/>
      </w:pPr>
      <w:r>
        <w:separator/>
      </w:r>
    </w:p>
  </w:endnote>
  <w:endnote w:type="continuationSeparator" w:id="0">
    <w:p w:rsidR="00BF2862" w:rsidRDefault="00BF2862" w:rsidP="00BF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62" w:rsidRDefault="00BF2862" w:rsidP="00BF2862">
      <w:pPr>
        <w:spacing w:after="0" w:line="240" w:lineRule="auto"/>
      </w:pPr>
      <w:r>
        <w:separator/>
      </w:r>
    </w:p>
  </w:footnote>
  <w:footnote w:type="continuationSeparator" w:id="0">
    <w:p w:rsidR="00BF2862" w:rsidRDefault="00BF2862" w:rsidP="00BF2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62" w:rsidRDefault="00F00D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21795E15" wp14:editId="481B1CB3">
          <wp:simplePos x="0" y="0"/>
          <wp:positionH relativeFrom="column">
            <wp:posOffset>-638175</wp:posOffset>
          </wp:positionH>
          <wp:positionV relativeFrom="paragraph">
            <wp:posOffset>-259080</wp:posOffset>
          </wp:positionV>
          <wp:extent cx="3224530" cy="571500"/>
          <wp:effectExtent l="0" t="0" r="0" b="0"/>
          <wp:wrapSquare wrapText="bothSides"/>
          <wp:docPr id="31" name="Picture 31" descr="GCC logo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CC logo B&amp;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453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14CE"/>
    <w:multiLevelType w:val="hybridMultilevel"/>
    <w:tmpl w:val="F6C8D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D0B2C"/>
    <w:multiLevelType w:val="hybridMultilevel"/>
    <w:tmpl w:val="A34E6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D4817"/>
    <w:multiLevelType w:val="hybridMultilevel"/>
    <w:tmpl w:val="A92EC9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62"/>
    <w:rsid w:val="00156D4B"/>
    <w:rsid w:val="00180832"/>
    <w:rsid w:val="002C603B"/>
    <w:rsid w:val="004428EE"/>
    <w:rsid w:val="005C3946"/>
    <w:rsid w:val="00731DF3"/>
    <w:rsid w:val="007741B5"/>
    <w:rsid w:val="00BF2862"/>
    <w:rsid w:val="00C65FB3"/>
    <w:rsid w:val="00CA28DB"/>
    <w:rsid w:val="00E1419D"/>
    <w:rsid w:val="00F00D95"/>
    <w:rsid w:val="00FB4440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86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2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62"/>
  </w:style>
  <w:style w:type="paragraph" w:styleId="Footer">
    <w:name w:val="footer"/>
    <w:basedOn w:val="Normal"/>
    <w:link w:val="FooterChar"/>
    <w:uiPriority w:val="99"/>
    <w:unhideWhenUsed/>
    <w:rsid w:val="00BF2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62"/>
  </w:style>
  <w:style w:type="paragraph" w:styleId="BalloonText">
    <w:name w:val="Balloon Text"/>
    <w:basedOn w:val="Normal"/>
    <w:link w:val="BalloonTextChar"/>
    <w:uiPriority w:val="99"/>
    <w:semiHidden/>
    <w:unhideWhenUsed/>
    <w:rsid w:val="00F0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41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2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86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2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62"/>
  </w:style>
  <w:style w:type="paragraph" w:styleId="Footer">
    <w:name w:val="footer"/>
    <w:basedOn w:val="Normal"/>
    <w:link w:val="FooterChar"/>
    <w:uiPriority w:val="99"/>
    <w:unhideWhenUsed/>
    <w:rsid w:val="00BF2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62"/>
  </w:style>
  <w:style w:type="paragraph" w:styleId="BalloonText">
    <w:name w:val="Balloon Text"/>
    <w:basedOn w:val="Normal"/>
    <w:link w:val="BalloonTextChar"/>
    <w:uiPriority w:val="99"/>
    <w:semiHidden/>
    <w:unhideWhenUsed/>
    <w:rsid w:val="00F0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41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2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ucestershire.gov.uk/gsab/article/110171/Multi-Agency-Safeguarding-Policy-and-Procedures--supporting-guidanc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loucestershire.gov.uk/extra/article/118576/Quality-Visi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qc.org.uk/sites/default/files/20150331_100501_v6_00_guidance_on_statutory_notifications_ASC_%20IH_PDC_PA_Reg_Pers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qc.org.uk/content/regulation-12-safe-care-and-treatme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Haynes</dc:creator>
  <cp:lastModifiedBy>BELL, Carolyn</cp:lastModifiedBy>
  <cp:revision>2</cp:revision>
  <dcterms:created xsi:type="dcterms:W3CDTF">2017-10-27T10:29:00Z</dcterms:created>
  <dcterms:modified xsi:type="dcterms:W3CDTF">2017-10-27T10:29:00Z</dcterms:modified>
</cp:coreProperties>
</file>