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7A58D413"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56"/>
        <w:gridCol w:w="2835"/>
        <w:gridCol w:w="1244"/>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SUNAN</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AYYUKA</w:t>
            </w:r>
          </w:p>
        </w:tc>
        <w:tc>
          <w:tcPr>
            <w:tcW w:w="3118" w:type="dxa"/>
          </w:tcPr>
          <w:p w14:paraId="72B0CA17" w14:textId="583B6330" w:rsidR="00470036" w:rsidRPr="00470036" w:rsidRDefault="00470036" w:rsidP="009F59C8">
            <w:pPr>
              <w:rPr>
                <w:sz w:val="28"/>
                <w:szCs w:val="28"/>
              </w:rPr>
            </w:pPr>
            <w:r w:rsidRPr="00470036">
              <w:rPr>
                <w:sz w:val="28"/>
                <w:szCs w:val="28"/>
              </w:rPr>
              <w:t>Mai ba da shawara na ilmantarwa</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Abin da zan iya yi don taimaka maka.</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Ina tallafawa Yara masu neman mafaka marasa rakiya don samun ilimi, kuma idan ya cancanta, don taimaka musu su ci gaba da kasancewa a cikin ilimi da kuma jagorantar su zuwa duk wani tallafi da ake da shi wanda zai taimaka tare da koyo da shirya don matsawa zuwa mataki na gaba a rayuwa.</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Ta yaya nake yin aikina?</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Lokacin da USAC ta isa kulawa, na shirya taro don fahimtar abin da ma'aikatan zamantakewa da masu kulawa ke yi don tallafawa matasa don neman ilimi. Ina kuma tambaya ko akwai wasu matsaloli ga wannan, da kuma amincewa da shirin samun matasa zuwa ilimi da wuri-wuri.</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Hakanan zan iya raba ilimi na game da ayyuka a Gloucester don taimaka wa matashi ya zauna da yin abokai ko samun ayyuka, musamman idan yana tallafawa koyon Ingilishi da jin daɗi a Gloucester.</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Idan matashi da mai kula da su da ma'aikacin zamantakewa suna so su tambaye ni tambayoyi ko kuma suna buƙatar taimako yayin da suke jiran fara koyo, Ina ƙoƙarin amsa kowace tambaya kuma zan taimaka wajen neman duk abin da suke buƙata.</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Har ila yau, ina ƙoƙari in taimaka musu don shirya su don wannan motsi zuwa ilimi, kamar tambayoyi don wuraren kwaleji ko shirya jarrabawa, kuma ina farin cikin tattauna duk wani ƙalubalen da ya taso.</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Na fahimci cewa tsarin ilimi na iya zama mai rikitarwa kuma ina farin cikin tallafawa matasa don samun mafi kyawun hanyar ilimi ga abin da kuke son yi a nan gaba.</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Ta yaya za mu iya aiki tare</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lastRenderedPageBreak/>
              <w:t>Ka tambaye ni wani abu game da koyo a Gloucester, zan yi ƙoƙari in sami amsar.</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Na yi imanin cewa Gloucester za ta fi girma idan duk matasa za su iya rayuwa cikin farin ciki, suna iya yin aiki tuƙuru a aikin da suke so kuma suna jin kamar Gloucester gidansu ne, saboda sun sami ilimi mai kyau.</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Ina aiki tare da wata ƙungiya da ake kira Virtual School, wanda ke tallafawa yara a cikin kulawa don samun ilimi.</w:t>
            </w:r>
          </w:p>
        </w:tc>
      </w:tr>
    </w:tbl>
    <w:p w14:paraId="63BA7303" w14:textId="56D799FC" w:rsidR="0033158F" w:rsidRDefault="0033158F"/>
    <w:tbl>
      <w:tblPr>
        <w:tblStyle w:val="TableGrid"/>
        <w:tblW w:w="0" w:type="auto"/>
        <w:tblLook w:val="04A0" w:firstRow="1" w:lastRow="0" w:firstColumn="1" w:lastColumn="0" w:noHBand="0" w:noVBand="1"/>
      </w:tblPr>
      <w:tblGrid>
        <w:gridCol w:w="2986"/>
        <w:gridCol w:w="7470"/>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Yadda za a tuntube ni</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Ma'aikacin zamantakewar ku da mai kulawa suna da cikakkun bayanai na kuma za su iya tuntuɓar ni, ko</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Imel</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Waya</w:t>
            </w:r>
          </w:p>
        </w:tc>
        <w:tc>
          <w:tcPr>
            <w:tcW w:w="7597" w:type="dxa"/>
          </w:tcPr>
          <w:p w14:paraId="7164EC2C" w14:textId="5C351A8E" w:rsidR="00834F5F" w:rsidRPr="003A174D" w:rsidRDefault="00834F5F">
            <w:pPr>
              <w:rPr>
                <w:sz w:val="24"/>
                <w:szCs w:val="24"/>
              </w:rPr>
            </w:pPr>
            <w:r w:rsidRPr="003A174D">
              <w:rPr>
                <w:sz w:val="24"/>
                <w:szCs w:val="24"/>
              </w:rPr>
              <w:t>+447973194049. Aiki Litinin – Jumma'a 9am-5pm</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Shafin yanar gizo</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 xml:space="preserve">Unaccompanied </w:t>
              </w:r>
              <w:proofErr w:type="gramStart"/>
              <w:r w:rsidRPr="0032312E">
                <w:rPr>
                  <w:rStyle w:val="Hyperlink"/>
                  <w:sz w:val="24"/>
                  <w:szCs w:val="24"/>
                </w:rPr>
                <w:t>Asylum Seeking</w:t>
              </w:r>
              <w:proofErr w:type="gramEnd"/>
              <w:r w:rsidRPr="0032312E">
                <w:rPr>
                  <w:rStyle w:val="Hyperlink"/>
                  <w:sz w:val="24"/>
                  <w:szCs w:val="24"/>
                </w:rPr>
                <w:t xml:space="preserve"> Children (UASC) | Makarantar Virtual</w:t>
              </w:r>
            </w:hyperlink>
          </w:p>
        </w:tc>
      </w:tr>
    </w:tbl>
    <w:p w14:paraId="568939B9" w14:textId="6C32F7C9"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Logo mai launin shuɗi da baƙar fata&#10;&#10;Abubuwan da aka samar da AI na iya zama ba daidai 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244C3"/>
    <w:rsid w:val="000845A2"/>
    <w:rsid w:val="00087DC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02B8F"/>
    <w:rsid w:val="00557489"/>
    <w:rsid w:val="006B6CCF"/>
    <w:rsid w:val="007100F6"/>
    <w:rsid w:val="007F3937"/>
    <w:rsid w:val="00811241"/>
    <w:rsid w:val="00834F5F"/>
    <w:rsid w:val="008750CE"/>
    <w:rsid w:val="00AA4780"/>
    <w:rsid w:val="00AD22B5"/>
    <w:rsid w:val="00AF3E90"/>
    <w:rsid w:val="00AF6148"/>
    <w:rsid w:val="00B67217"/>
    <w:rsid w:val="00BA09E1"/>
    <w:rsid w:val="00BF7AEF"/>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087D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ACC3242C-AFDD-42F1-8723-CA7B0B6D5E4C}"/>
</file>

<file path=customXml/itemProps3.xml><?xml version="1.0" encoding="utf-8"?>
<ds:datastoreItem xmlns:ds="http://schemas.openxmlformats.org/officeDocument/2006/customXml" ds:itemID="{77C27C8B-D3C2-433E-A275-6D3945709CE3}"/>
</file>

<file path=customXml/itemProps4.xml><?xml version="1.0" encoding="utf-8"?>
<ds:datastoreItem xmlns:ds="http://schemas.openxmlformats.org/officeDocument/2006/customXml" ds:itemID="{B2F26F98-3224-4302-AEBB-C1DA22956B77}"/>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1985</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